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EA3" w:rsidRPr="00A04360" w:rsidRDefault="00CD3EA3" w:rsidP="00455518">
      <w:pPr>
        <w:rPr>
          <w:b/>
          <w:lang w:val="ro-RO"/>
        </w:rPr>
      </w:pPr>
      <w:r w:rsidRPr="00A04360">
        <w:rPr>
          <w:b/>
          <w:lang w:val="ro-RO"/>
        </w:rPr>
        <w:t>Serviciul Relaţii cu Publicul şi Mass-media</w:t>
      </w:r>
    </w:p>
    <w:p w:rsidR="00CD3EA3" w:rsidRPr="00A04360" w:rsidRDefault="00F72B78" w:rsidP="00455518">
      <w:pPr>
        <w:rPr>
          <w:lang w:val="ro-RO"/>
        </w:rPr>
      </w:pPr>
      <w:r w:rsidRPr="00A04360">
        <w:rPr>
          <w:lang w:val="ro-RO"/>
        </w:rPr>
        <w:t>Nr. înreg:  43547 /SRPMM/ 15.04.2014</w:t>
      </w:r>
    </w:p>
    <w:p w:rsidR="00F33CF1" w:rsidRPr="00A04360" w:rsidRDefault="00F33CF1" w:rsidP="00455518">
      <w:pPr>
        <w:rPr>
          <w:b/>
        </w:rPr>
      </w:pPr>
    </w:p>
    <w:p w:rsidR="00F33CF1" w:rsidRPr="00A04360" w:rsidRDefault="00965E48" w:rsidP="00455518">
      <w:pPr>
        <w:rPr>
          <w:b/>
        </w:rPr>
      </w:pPr>
      <w:r>
        <w:rPr>
          <w:b/>
        </w:rPr>
        <w:t xml:space="preserve">Către:        </w:t>
      </w:r>
      <w:r w:rsidR="00E41330">
        <w:rPr>
          <w:b/>
        </w:rPr>
        <w:t xml:space="preserve">   </w:t>
      </w:r>
      <w:r w:rsidR="00E547C5" w:rsidRPr="00A04360">
        <w:rPr>
          <w:b/>
        </w:rPr>
        <w:t>Partidul Conservator</w:t>
      </w:r>
    </w:p>
    <w:p w:rsidR="00E547C5" w:rsidRPr="00A04360" w:rsidRDefault="00E547C5" w:rsidP="00455518">
      <w:pPr>
        <w:rPr>
          <w:b/>
        </w:rPr>
      </w:pPr>
      <w:r w:rsidRPr="00A04360">
        <w:rPr>
          <w:b/>
        </w:rPr>
        <w:t xml:space="preserve">            </w:t>
      </w:r>
      <w:r w:rsidR="00965E48">
        <w:rPr>
          <w:b/>
        </w:rPr>
        <w:t xml:space="preserve">      </w:t>
      </w:r>
      <w:r w:rsidR="00E41330">
        <w:rPr>
          <w:b/>
        </w:rPr>
        <w:t xml:space="preserve">  </w:t>
      </w:r>
      <w:r w:rsidRPr="00A04360">
        <w:rPr>
          <w:b/>
        </w:rPr>
        <w:t>FILIALA JUDETEANA BIHOR</w:t>
      </w:r>
    </w:p>
    <w:p w:rsidR="00E84E28" w:rsidRPr="00F30A20" w:rsidRDefault="00E84E28" w:rsidP="00455518">
      <w:pPr>
        <w:rPr>
          <w:b/>
          <w:lang w:val="ro-RO"/>
        </w:rPr>
      </w:pPr>
      <w:r w:rsidRPr="00A04360">
        <w:rPr>
          <w:b/>
          <w:lang w:val="ro-RO"/>
        </w:rPr>
        <w:t>În atenţia</w:t>
      </w:r>
      <w:r w:rsidR="00965E48">
        <w:t xml:space="preserve">:    </w:t>
      </w:r>
      <w:r w:rsidR="00E41330">
        <w:t xml:space="preserve"> </w:t>
      </w:r>
      <w:r w:rsidRPr="00A04360">
        <w:rPr>
          <w:b/>
        </w:rPr>
        <w:t>Domnului</w:t>
      </w:r>
      <w:r w:rsidR="00FC09CD" w:rsidRPr="00A04360">
        <w:t xml:space="preserve"> </w:t>
      </w:r>
      <w:r w:rsidR="00FC09CD" w:rsidRPr="00F30A20">
        <w:rPr>
          <w:b/>
        </w:rPr>
        <w:t>Dorin CORCHE</w:t>
      </w:r>
      <w:r w:rsidR="00FC09CD" w:rsidRPr="00F30A20">
        <w:rPr>
          <w:b/>
          <w:lang w:val="ro-RO"/>
        </w:rPr>
        <w:t xml:space="preserve">Ş, </w:t>
      </w:r>
      <w:r w:rsidR="00FC09CD" w:rsidRPr="00F30A20">
        <w:rPr>
          <w:b/>
        </w:rPr>
        <w:t>Vicepreşedinte PC Bihor</w:t>
      </w:r>
    </w:p>
    <w:p w:rsidR="00DA0F33" w:rsidRDefault="00DA0F33" w:rsidP="00455518">
      <w:pPr>
        <w:rPr>
          <w:lang w:val="ro-RO"/>
        </w:rPr>
      </w:pPr>
      <w:r w:rsidRPr="00A04360">
        <w:rPr>
          <w:b/>
          <w:lang w:val="ro-RO"/>
        </w:rPr>
        <w:t>Referitor la</w:t>
      </w:r>
      <w:r w:rsidRPr="00A04360">
        <w:t xml:space="preserve">:     </w:t>
      </w:r>
      <w:r w:rsidRPr="00A04360">
        <w:rPr>
          <w:b/>
          <w:lang w:val="ro-RO"/>
        </w:rPr>
        <w:t>situa</w:t>
      </w:r>
      <w:r w:rsidRPr="00A04360">
        <w:rPr>
          <w:rFonts w:hAnsi="Calibri"/>
          <w:b/>
          <w:lang w:val="ro-RO"/>
        </w:rPr>
        <w:t>ț</w:t>
      </w:r>
      <w:r w:rsidRPr="00A04360">
        <w:rPr>
          <w:b/>
          <w:lang w:val="ro-RO"/>
        </w:rPr>
        <w:t>ia SC Electrocentrale Oradea SA</w:t>
      </w:r>
      <w:r w:rsidRPr="00A04360">
        <w:rPr>
          <w:lang w:val="ro-RO"/>
        </w:rPr>
        <w:t xml:space="preserve"> din punct de vedere al conformării sub Schema de comercializare a certificatelor de emisii de gaze cu efect de seră (ETS) pentru anul 2012</w:t>
      </w:r>
      <w:bookmarkStart w:id="0" w:name="_GoBack"/>
      <w:bookmarkEnd w:id="0"/>
    </w:p>
    <w:p w:rsidR="00A04360" w:rsidRPr="00A04360" w:rsidRDefault="00A04360" w:rsidP="00455518">
      <w:pPr>
        <w:rPr>
          <w:b/>
          <w:lang w:val="ro-RO"/>
        </w:rPr>
      </w:pPr>
    </w:p>
    <w:p w:rsidR="00AB7E6D" w:rsidRPr="00AB7E6D" w:rsidRDefault="00DA0F33" w:rsidP="00455518">
      <w:pPr>
        <w:spacing w:before="120" w:line="264" w:lineRule="auto"/>
        <w:rPr>
          <w:lang w:val="ro-RO"/>
        </w:rPr>
      </w:pPr>
      <w:r>
        <w:rPr>
          <w:lang w:val="ro-RO"/>
        </w:rPr>
        <w:t xml:space="preserve">Urmare adresei </w:t>
      </w:r>
      <w:r w:rsidR="00D84F17">
        <w:rPr>
          <w:lang w:val="ro-RO"/>
        </w:rPr>
        <w:t>dumneavoastră</w:t>
      </w:r>
      <w:r w:rsidR="00AB7E6D" w:rsidRPr="00AB7E6D">
        <w:rPr>
          <w:b/>
          <w:lang w:val="ro-RO"/>
        </w:rPr>
        <w:t xml:space="preserve">, </w:t>
      </w:r>
      <w:r w:rsidR="00AB7E6D" w:rsidRPr="00A04360">
        <w:rPr>
          <w:lang w:val="ro-RO"/>
        </w:rPr>
        <w:t xml:space="preserve">înregistrată la Ministerul </w:t>
      </w:r>
      <w:r w:rsidR="005832E4">
        <w:rPr>
          <w:lang w:val="ro-RO"/>
        </w:rPr>
        <w:t xml:space="preserve"> </w:t>
      </w:r>
      <w:r w:rsidR="00AB7E6D" w:rsidRPr="00A04360">
        <w:rPr>
          <w:lang w:val="ro-RO"/>
        </w:rPr>
        <w:t xml:space="preserve">Mediului </w:t>
      </w:r>
      <w:r w:rsidR="00AB7E6D" w:rsidRPr="00A04360">
        <w:rPr>
          <w:rFonts w:hAnsi="Calibri"/>
          <w:lang w:val="ro-RO"/>
        </w:rPr>
        <w:t>ș</w:t>
      </w:r>
      <w:r w:rsidR="00AB7E6D" w:rsidRPr="00A04360">
        <w:rPr>
          <w:lang w:val="ro-RO"/>
        </w:rPr>
        <w:t>i Schimbărilor</w:t>
      </w:r>
      <w:r w:rsidR="00AB7E6D" w:rsidRPr="00AB7E6D">
        <w:rPr>
          <w:b/>
          <w:lang w:val="ro-RO"/>
        </w:rPr>
        <w:t xml:space="preserve"> </w:t>
      </w:r>
      <w:r w:rsidR="00AB7E6D" w:rsidRPr="00A04360">
        <w:rPr>
          <w:lang w:val="ro-RO"/>
        </w:rPr>
        <w:t>Climatice (MMSC)</w:t>
      </w:r>
      <w:r w:rsidRPr="00A04360">
        <w:rPr>
          <w:lang w:val="ro-RO"/>
        </w:rPr>
        <w:t xml:space="preserve"> cabinet ministru</w:t>
      </w:r>
      <w:r w:rsidR="00AB7E6D" w:rsidRPr="00A04360">
        <w:rPr>
          <w:color w:val="FF0000"/>
          <w:lang w:val="ro-RO"/>
        </w:rPr>
        <w:t xml:space="preserve"> </w:t>
      </w:r>
      <w:r w:rsidR="00AB7E6D" w:rsidRPr="00A04360">
        <w:rPr>
          <w:lang w:val="ro-RO"/>
        </w:rPr>
        <w:t xml:space="preserve">cu nr. 1692/AK/07.04.2014 </w:t>
      </w:r>
      <w:r w:rsidRPr="00A04360">
        <w:rPr>
          <w:lang w:val="ro-RO"/>
        </w:rPr>
        <w:t>şi în cadrul Serviciului Relaţii cu Publicul şi Mass – Media cu nr. 43547/15.04.2014</w:t>
      </w:r>
      <w:r>
        <w:rPr>
          <w:b/>
          <w:lang w:val="ro-RO"/>
        </w:rPr>
        <w:t xml:space="preserve">  </w:t>
      </w:r>
      <w:r w:rsidR="00D84F17">
        <w:rPr>
          <w:lang w:val="ro-RO"/>
        </w:rPr>
        <w:t>vă comunicăm următoarele</w:t>
      </w:r>
      <w:r w:rsidR="00AB7E6D" w:rsidRPr="00AB7E6D">
        <w:rPr>
          <w:lang w:val="ro-RO"/>
        </w:rPr>
        <w:t>:</w:t>
      </w:r>
    </w:p>
    <w:p w:rsidR="00AB7E6D" w:rsidRPr="00AB7E6D" w:rsidRDefault="00AB7E6D" w:rsidP="00455518">
      <w:pPr>
        <w:numPr>
          <w:ilvl w:val="0"/>
          <w:numId w:val="4"/>
        </w:numPr>
        <w:spacing w:before="120" w:after="0" w:line="264" w:lineRule="auto"/>
        <w:ind w:left="1701" w:hanging="426"/>
        <w:rPr>
          <w:lang w:val="ro-RO"/>
        </w:rPr>
      </w:pPr>
      <w:r w:rsidRPr="00AB7E6D">
        <w:rPr>
          <w:b/>
          <w:lang w:val="ro-RO"/>
        </w:rPr>
        <w:t>Legisla</w:t>
      </w:r>
      <w:r w:rsidRPr="00AB7E6D">
        <w:rPr>
          <w:rFonts w:hAnsi="Calibri"/>
          <w:b/>
          <w:lang w:val="ro-RO"/>
        </w:rPr>
        <w:t>ț</w:t>
      </w:r>
      <w:r w:rsidRPr="00AB7E6D">
        <w:rPr>
          <w:b/>
          <w:lang w:val="ro-RO"/>
        </w:rPr>
        <w:t>ia referitoare la conformarea operatorilor care intră sub inciden</w:t>
      </w:r>
      <w:r w:rsidRPr="00AB7E6D">
        <w:rPr>
          <w:rFonts w:hAnsi="Calibri"/>
          <w:b/>
          <w:lang w:val="ro-RO"/>
        </w:rPr>
        <w:t>ț</w:t>
      </w:r>
      <w:r w:rsidRPr="00AB7E6D">
        <w:rPr>
          <w:b/>
          <w:lang w:val="ro-RO"/>
        </w:rPr>
        <w:t>a schemei de comercial</w:t>
      </w:r>
      <w:r w:rsidR="00455518">
        <w:rPr>
          <w:b/>
          <w:lang w:val="ro-RO"/>
        </w:rPr>
        <w:t>a</w:t>
      </w:r>
      <w:r w:rsidRPr="00AB7E6D">
        <w:rPr>
          <w:b/>
          <w:lang w:val="ro-RO"/>
        </w:rPr>
        <w:t>izare a certificatelor de emisii de gaze cu efect de seră</w:t>
      </w:r>
      <w:r w:rsidRPr="00AB7E6D">
        <w:rPr>
          <w:lang w:val="ro-RO"/>
        </w:rPr>
        <w:t xml:space="preserve">  (ETS)</w:t>
      </w:r>
    </w:p>
    <w:p w:rsidR="00AB7E6D" w:rsidRPr="00AB7E6D" w:rsidRDefault="00AB7E6D" w:rsidP="00455518">
      <w:pPr>
        <w:numPr>
          <w:ilvl w:val="0"/>
          <w:numId w:val="1"/>
        </w:numPr>
        <w:spacing w:before="120" w:after="0" w:line="264" w:lineRule="auto"/>
        <w:ind w:left="1701" w:hanging="425"/>
        <w:rPr>
          <w:b/>
          <w:lang w:val="ro-RO"/>
        </w:rPr>
      </w:pPr>
      <w:r w:rsidRPr="00AB7E6D">
        <w:rPr>
          <w:b/>
          <w:lang w:val="ro-RO"/>
        </w:rPr>
        <w:t>Legisla</w:t>
      </w:r>
      <w:r w:rsidRPr="00AB7E6D">
        <w:rPr>
          <w:rFonts w:hAnsi="Calibri"/>
          <w:b/>
          <w:lang w:val="ro-RO"/>
        </w:rPr>
        <w:t>ț</w:t>
      </w:r>
      <w:r w:rsidRPr="00AB7E6D">
        <w:rPr>
          <w:b/>
          <w:lang w:val="ro-RO"/>
        </w:rPr>
        <w:t>ia europeană</w:t>
      </w:r>
    </w:p>
    <w:p w:rsidR="00AB7E6D" w:rsidRPr="00AB7E6D" w:rsidRDefault="00AB7E6D" w:rsidP="00455518">
      <w:pPr>
        <w:numPr>
          <w:ilvl w:val="0"/>
          <w:numId w:val="3"/>
        </w:numPr>
        <w:spacing w:before="120" w:after="0" w:line="264" w:lineRule="auto"/>
        <w:ind w:left="1701" w:hanging="364"/>
        <w:rPr>
          <w:lang w:val="ro-RO"/>
        </w:rPr>
      </w:pPr>
      <w:r w:rsidRPr="00AB7E6D">
        <w:rPr>
          <w:b/>
          <w:lang w:val="ro-RO"/>
        </w:rPr>
        <w:t>Directiva 2003/87/CE de stabilire a unui sistem de comercializare a cotelor de emisie de gaze cu efect de seră</w:t>
      </w:r>
      <w:r w:rsidRPr="00AB7E6D">
        <w:rPr>
          <w:b/>
          <w:color w:val="FF0000"/>
          <w:lang w:val="ro-RO"/>
        </w:rPr>
        <w:t>:</w:t>
      </w:r>
      <w:r w:rsidRPr="00AB7E6D">
        <w:rPr>
          <w:lang w:val="ro-RO"/>
        </w:rPr>
        <w:t xml:space="preserve"> (</w:t>
      </w:r>
      <w:r w:rsidRPr="00AB7E6D">
        <w:rPr>
          <w:i/>
          <w:lang w:val="ro-RO"/>
        </w:rPr>
        <w:t xml:space="preserve">operatorii care deţin instalaţii ce fac obiectul schemei ETS </w:t>
      </w:r>
      <w:r w:rsidRPr="00AB7E6D">
        <w:rPr>
          <w:b/>
          <w:i/>
          <w:u w:val="single"/>
          <w:lang w:val="ro-RO"/>
        </w:rPr>
        <w:t>au obliga</w:t>
      </w:r>
      <w:r w:rsidRPr="00AB7E6D">
        <w:rPr>
          <w:rFonts w:hAnsi="Calibri"/>
          <w:b/>
          <w:i/>
          <w:u w:val="single"/>
          <w:lang w:val="ro-RO"/>
        </w:rPr>
        <w:t>ț</w:t>
      </w:r>
      <w:r w:rsidRPr="00AB7E6D">
        <w:rPr>
          <w:b/>
          <w:i/>
          <w:u w:val="single"/>
          <w:lang w:val="ro-RO"/>
        </w:rPr>
        <w:t>ia să restituie, până la data de 30 aprilie a fiecărui an, în contul din Registrul Unic Consolidat al UE</w:t>
      </w:r>
      <w:r w:rsidRPr="00AB7E6D">
        <w:rPr>
          <w:b/>
          <w:i/>
          <w:lang w:val="ro-RO"/>
        </w:rPr>
        <w:t>,</w:t>
      </w:r>
      <w:r w:rsidRPr="00AB7E6D">
        <w:rPr>
          <w:i/>
          <w:lang w:val="ro-RO"/>
        </w:rPr>
        <w:t xml:space="preserve"> un număr de certificate de emisii de gaze cu efect de seră (certificate GES) egal cu cantitatea totală de emisii GES provenite de la instala</w:t>
      </w:r>
      <w:r w:rsidRPr="00AB7E6D">
        <w:rPr>
          <w:rFonts w:hAnsi="Calibri"/>
          <w:i/>
          <w:lang w:val="ro-RO"/>
        </w:rPr>
        <w:t>ț</w:t>
      </w:r>
      <w:r w:rsidRPr="00AB7E6D">
        <w:rPr>
          <w:i/>
          <w:lang w:val="ro-RO"/>
        </w:rPr>
        <w:t>iile respective în anul calendaristic anterior,</w:t>
      </w:r>
      <w:r w:rsidRPr="00AB7E6D">
        <w:rPr>
          <w:lang w:val="ro-RO"/>
        </w:rPr>
        <w:t xml:space="preserve"> validate de un verificator acreditat, proces care reprezintă </w:t>
      </w:r>
      <w:r w:rsidRPr="00AB7E6D">
        <w:rPr>
          <w:b/>
          <w:lang w:val="ro-RO"/>
        </w:rPr>
        <w:t>„conformarea sub  ETS”</w:t>
      </w:r>
      <w:r w:rsidRPr="00AB7E6D">
        <w:rPr>
          <w:lang w:val="ro-RO"/>
        </w:rPr>
        <w:t>;</w:t>
      </w:r>
    </w:p>
    <w:p w:rsidR="00AB7E6D" w:rsidRPr="00AB7E6D" w:rsidRDefault="00AB7E6D" w:rsidP="00455518">
      <w:pPr>
        <w:numPr>
          <w:ilvl w:val="0"/>
          <w:numId w:val="3"/>
        </w:numPr>
        <w:spacing w:before="120" w:after="0" w:line="264" w:lineRule="auto"/>
        <w:ind w:left="1701" w:hanging="364"/>
        <w:rPr>
          <w:lang w:val="ro-RO"/>
        </w:rPr>
      </w:pPr>
      <w:r w:rsidRPr="00AB7E6D">
        <w:rPr>
          <w:b/>
          <w:lang w:val="ro-RO"/>
        </w:rPr>
        <w:t>Regulamentul (UE) nr. 389/2013 al Comisiei de creare a Registrului Uniunii</w:t>
      </w:r>
      <w:r w:rsidRPr="00AB7E6D">
        <w:rPr>
          <w:lang w:val="ro-RO"/>
        </w:rPr>
        <w:t xml:space="preserve"> (conform căruia </w:t>
      </w:r>
      <w:r w:rsidRPr="00AB7E6D">
        <w:rPr>
          <w:b/>
          <w:lang w:val="ro-RO"/>
        </w:rPr>
        <w:t>operaţiunea de restituire a certificatelor GES  în scopul  « </w:t>
      </w:r>
      <w:r w:rsidRPr="00AB7E6D">
        <w:rPr>
          <w:b/>
          <w:i/>
          <w:lang w:val="ro-RO"/>
        </w:rPr>
        <w:t>conformării</w:t>
      </w:r>
      <w:r w:rsidRPr="00AB7E6D">
        <w:rPr>
          <w:b/>
          <w:lang w:val="ro-RO"/>
        </w:rPr>
        <w:t xml:space="preserve"> » se finalizează cu status-ul de </w:t>
      </w:r>
      <w:r w:rsidRPr="00AB7E6D">
        <w:rPr>
          <w:b/>
          <w:u w:val="single"/>
          <w:lang w:val="ro-RO"/>
        </w:rPr>
        <w:t>« complet »</w:t>
      </w:r>
      <w:r w:rsidRPr="00AB7E6D">
        <w:rPr>
          <w:b/>
          <w:lang w:val="ro-RO"/>
        </w:rPr>
        <w:t xml:space="preserve"> </w:t>
      </w:r>
      <w:r w:rsidRPr="00AB7E6D">
        <w:rPr>
          <w:b/>
          <w:u w:val="single"/>
          <w:lang w:val="ro-RO"/>
        </w:rPr>
        <w:t xml:space="preserve">doar după parcurgerea unui număr de 26 de ore de la aprobarea Reprezentantului Autorizat Adiţional – AAR </w:t>
      </w:r>
      <w:r w:rsidRPr="00AB7E6D">
        <w:rPr>
          <w:b/>
          <w:lang w:val="ro-RO"/>
        </w:rPr>
        <w:t>- iar curgerea acestui interval se suspendă în zilele de sâmbătă şi duminică între orele 00.00 şi 24.00</w:t>
      </w:r>
      <w:r w:rsidRPr="00AB7E6D">
        <w:rPr>
          <w:lang w:val="ro-RO"/>
        </w:rPr>
        <w:t xml:space="preserve"> </w:t>
      </w:r>
      <w:r w:rsidRPr="00AB7E6D">
        <w:rPr>
          <w:rFonts w:hAnsi="Calibri"/>
          <w:lang w:val="ro-RO"/>
        </w:rPr>
        <w:t>ș</w:t>
      </w:r>
      <w:r w:rsidRPr="00AB7E6D">
        <w:rPr>
          <w:lang w:val="ro-RO"/>
        </w:rPr>
        <w:t>i sărbători legale).</w:t>
      </w:r>
    </w:p>
    <w:p w:rsidR="00AB7E6D" w:rsidRPr="00AB7E6D" w:rsidRDefault="00AB7E6D" w:rsidP="00455518">
      <w:pPr>
        <w:numPr>
          <w:ilvl w:val="0"/>
          <w:numId w:val="3"/>
        </w:numPr>
        <w:spacing w:before="120" w:after="0" w:line="264" w:lineRule="auto"/>
        <w:ind w:left="1701" w:hanging="364"/>
        <w:rPr>
          <w:lang w:val="ro-RO"/>
        </w:rPr>
      </w:pPr>
      <w:r w:rsidRPr="00AB7E6D">
        <w:rPr>
          <w:b/>
          <w:lang w:val="ro-RO"/>
        </w:rPr>
        <w:t>Decizia Cur</w:t>
      </w:r>
      <w:r w:rsidRPr="00AB7E6D">
        <w:rPr>
          <w:rFonts w:hAnsi="Calibri"/>
          <w:b/>
          <w:lang w:val="ro-RO"/>
        </w:rPr>
        <w:t>ț</w:t>
      </w:r>
      <w:r w:rsidRPr="00AB7E6D">
        <w:rPr>
          <w:b/>
          <w:lang w:val="ro-RO"/>
        </w:rPr>
        <w:t>ii Europene de Justi</w:t>
      </w:r>
      <w:r w:rsidRPr="00AB7E6D">
        <w:rPr>
          <w:rFonts w:hAnsi="Calibri"/>
          <w:b/>
          <w:lang w:val="ro-RO"/>
        </w:rPr>
        <w:t>ț</w:t>
      </w:r>
      <w:r w:rsidRPr="00AB7E6D">
        <w:rPr>
          <w:b/>
          <w:lang w:val="ro-RO"/>
        </w:rPr>
        <w:t>ie din octombrie 2013</w:t>
      </w:r>
      <w:r w:rsidRPr="00AB7E6D">
        <w:rPr>
          <w:b/>
          <w:color w:val="FF0000"/>
          <w:lang w:val="ro-RO"/>
        </w:rPr>
        <w:t>,</w:t>
      </w:r>
      <w:r w:rsidRPr="00AB7E6D">
        <w:rPr>
          <w:b/>
          <w:lang w:val="ro-RO"/>
        </w:rPr>
        <w:t xml:space="preserve"> </w:t>
      </w:r>
      <w:r w:rsidRPr="00AB7E6D">
        <w:rPr>
          <w:lang w:val="ro-RO"/>
        </w:rPr>
        <w:t>care</w:t>
      </w:r>
      <w:r w:rsidRPr="00AB7E6D">
        <w:rPr>
          <w:b/>
          <w:lang w:val="ro-RO"/>
        </w:rPr>
        <w:t xml:space="preserve"> </w:t>
      </w:r>
      <w:r w:rsidRPr="00AB7E6D">
        <w:rPr>
          <w:lang w:val="ro-RO"/>
        </w:rPr>
        <w:t>a stabilit că</w:t>
      </w:r>
      <w:r w:rsidRPr="00AB7E6D">
        <w:rPr>
          <w:i/>
          <w:lang w:val="ro-RO"/>
        </w:rPr>
        <w:t> </w:t>
      </w:r>
      <w:r w:rsidRPr="00AB7E6D">
        <w:rPr>
          <w:lang w:val="ro-RO"/>
        </w:rPr>
        <w:t>art. 16 din</w:t>
      </w:r>
      <w:r w:rsidRPr="00AB7E6D">
        <w:rPr>
          <w:i/>
          <w:lang w:val="ro-RO"/>
        </w:rPr>
        <w:t xml:space="preserve"> Directiva 2003/87/CE privind stabilirea unui sistem de comercializare a cotelor de emisie de gaze cu efect de seră </w:t>
      </w:r>
      <w:r w:rsidRPr="00AB7E6D">
        <w:rPr>
          <w:lang w:val="ro-RO"/>
        </w:rPr>
        <w:t>trebuie interpretat astfel:</w:t>
      </w:r>
      <w:r w:rsidRPr="00AB7E6D">
        <w:rPr>
          <w:b/>
          <w:lang w:val="ro-RO"/>
        </w:rPr>
        <w:t xml:space="preserve"> operatorii care nu au restituit până la data de 30 aprilie a anului în curs certificatele GES aferente emisiilor din anul precedent, nu sunt exonera</w:t>
      </w:r>
      <w:r w:rsidRPr="00AB7E6D">
        <w:rPr>
          <w:rFonts w:hAnsi="Calibri"/>
          <w:b/>
          <w:lang w:val="ro-RO"/>
        </w:rPr>
        <w:t>ț</w:t>
      </w:r>
      <w:r w:rsidRPr="00AB7E6D">
        <w:rPr>
          <w:b/>
          <w:lang w:val="ro-RO"/>
        </w:rPr>
        <w:t xml:space="preserve">i de la plata penalităţii de 100 de euro/certificat, </w:t>
      </w:r>
      <w:r w:rsidRPr="00AB7E6D">
        <w:rPr>
          <w:lang w:val="ro-RO"/>
        </w:rPr>
        <w:t xml:space="preserve"> </w:t>
      </w:r>
      <w:r w:rsidRPr="00AB7E6D">
        <w:rPr>
          <w:b/>
          <w:u w:val="single"/>
          <w:lang w:val="ro-RO"/>
        </w:rPr>
        <w:t>chiar dacă certificatele  au fost restituite după această dată.</w:t>
      </w:r>
      <w:r w:rsidRPr="00AB7E6D">
        <w:rPr>
          <w:lang w:val="ro-RO"/>
        </w:rPr>
        <w:t xml:space="preserve"> </w:t>
      </w:r>
    </w:p>
    <w:p w:rsidR="00AB7E6D" w:rsidRPr="00AB7E6D" w:rsidRDefault="00AB7E6D" w:rsidP="00455518">
      <w:pPr>
        <w:numPr>
          <w:ilvl w:val="0"/>
          <w:numId w:val="1"/>
        </w:numPr>
        <w:spacing w:before="120" w:after="0" w:line="264" w:lineRule="auto"/>
        <w:ind w:left="1701" w:hanging="425"/>
        <w:rPr>
          <w:b/>
          <w:lang w:val="ro-RO"/>
        </w:rPr>
      </w:pPr>
      <w:r w:rsidRPr="00AB7E6D">
        <w:rPr>
          <w:b/>
          <w:lang w:val="ro-RO"/>
        </w:rPr>
        <w:t>Legisla</w:t>
      </w:r>
      <w:r w:rsidRPr="00AB7E6D">
        <w:rPr>
          <w:rFonts w:hAnsi="Calibri"/>
          <w:b/>
          <w:lang w:val="ro-RO"/>
        </w:rPr>
        <w:t>ț</w:t>
      </w:r>
      <w:r w:rsidRPr="00AB7E6D">
        <w:rPr>
          <w:b/>
          <w:lang w:val="ro-RO"/>
        </w:rPr>
        <w:t>ie na</w:t>
      </w:r>
      <w:r w:rsidRPr="00AB7E6D">
        <w:rPr>
          <w:rFonts w:hAnsi="Calibri"/>
          <w:b/>
          <w:lang w:val="ro-RO"/>
        </w:rPr>
        <w:t>ț</w:t>
      </w:r>
      <w:r w:rsidRPr="00AB7E6D">
        <w:rPr>
          <w:b/>
          <w:lang w:val="ro-RO"/>
        </w:rPr>
        <w:t>ională</w:t>
      </w:r>
    </w:p>
    <w:p w:rsidR="00AB7E6D" w:rsidRPr="00AB7E6D" w:rsidRDefault="00AB7E6D" w:rsidP="00455518">
      <w:pPr>
        <w:numPr>
          <w:ilvl w:val="0"/>
          <w:numId w:val="3"/>
        </w:numPr>
        <w:spacing w:before="120" w:after="0" w:line="264" w:lineRule="auto"/>
        <w:ind w:left="1701" w:hanging="425"/>
        <w:rPr>
          <w:i/>
          <w:lang w:val="ro-RO"/>
        </w:rPr>
      </w:pPr>
      <w:r w:rsidRPr="00AB7E6D">
        <w:rPr>
          <w:b/>
          <w:lang w:val="ro-RO"/>
        </w:rPr>
        <w:lastRenderedPageBreak/>
        <w:t xml:space="preserve">H.G. nr. 780/2006 privind stabilirea schemei de comercializare a certificatelor de emisii de gaze cu efect de seră, cu modificările </w:t>
      </w:r>
      <w:r w:rsidRPr="00AB7E6D">
        <w:rPr>
          <w:rFonts w:hAnsi="Calibri"/>
          <w:b/>
          <w:lang w:val="ro-RO"/>
        </w:rPr>
        <w:t>ș</w:t>
      </w:r>
      <w:r w:rsidRPr="00AB7E6D">
        <w:rPr>
          <w:b/>
          <w:lang w:val="ro-RO"/>
        </w:rPr>
        <w:t>i completările ulterioare,</w:t>
      </w:r>
      <w:r w:rsidRPr="00AB7E6D">
        <w:rPr>
          <w:lang w:val="ro-RO"/>
        </w:rPr>
        <w:t xml:space="preserve"> </w:t>
      </w:r>
      <w:r w:rsidRPr="00AB7E6D">
        <w:rPr>
          <w:i/>
          <w:lang w:val="ro-RO"/>
        </w:rPr>
        <w:t>care transpune prevederile Directivei 2003/87/CE de stabilire a unui sistem de comercializare a cotelor de emisie de gaze cu efect de seră.</w:t>
      </w:r>
    </w:p>
    <w:p w:rsidR="00AB7E6D" w:rsidRPr="00AB7E6D" w:rsidRDefault="00AB7E6D" w:rsidP="00455518">
      <w:pPr>
        <w:numPr>
          <w:ilvl w:val="0"/>
          <w:numId w:val="4"/>
        </w:numPr>
        <w:spacing w:before="120" w:after="0" w:line="264" w:lineRule="auto"/>
        <w:ind w:left="1701" w:hanging="426"/>
        <w:rPr>
          <w:lang w:val="ro-RO"/>
        </w:rPr>
      </w:pPr>
      <w:r w:rsidRPr="00AB7E6D">
        <w:rPr>
          <w:b/>
          <w:lang w:val="ro-RO"/>
        </w:rPr>
        <w:t xml:space="preserve">Termenele de conformare </w:t>
      </w:r>
      <w:r w:rsidRPr="00AB7E6D">
        <w:rPr>
          <w:rFonts w:hAnsi="Calibri"/>
          <w:b/>
          <w:lang w:val="ro-RO"/>
        </w:rPr>
        <w:t>ș</w:t>
      </w:r>
      <w:r w:rsidRPr="00AB7E6D">
        <w:rPr>
          <w:b/>
          <w:lang w:val="ro-RO"/>
        </w:rPr>
        <w:t>i data conformării operatorului SC Electrocentale Oradea</w:t>
      </w:r>
      <w:r w:rsidRPr="00AB7E6D">
        <w:rPr>
          <w:lang w:val="ro-RO"/>
        </w:rPr>
        <w:t xml:space="preserve"> </w:t>
      </w:r>
      <w:r w:rsidRPr="00AB7E6D">
        <w:rPr>
          <w:b/>
          <w:lang w:val="ro-RO"/>
        </w:rPr>
        <w:t>SA</w:t>
      </w:r>
    </w:p>
    <w:p w:rsidR="00AB7E6D" w:rsidRPr="00AB7E6D" w:rsidRDefault="00AB7E6D" w:rsidP="00455518">
      <w:pPr>
        <w:numPr>
          <w:ilvl w:val="0"/>
          <w:numId w:val="1"/>
        </w:numPr>
        <w:spacing w:before="120" w:after="0" w:line="264" w:lineRule="auto"/>
        <w:ind w:left="1701" w:hanging="283"/>
        <w:rPr>
          <w:lang w:val="ro-RO"/>
        </w:rPr>
      </w:pPr>
      <w:r w:rsidRPr="00AB7E6D">
        <w:rPr>
          <w:b/>
          <w:lang w:val="ro-RO"/>
        </w:rPr>
        <w:t>Până la data de 30 aprilie</w:t>
      </w:r>
      <w:r w:rsidRPr="00AB7E6D">
        <w:rPr>
          <w:lang w:val="ro-RO"/>
        </w:rPr>
        <w:t xml:space="preserve"> a fiecărui an, operatorii care intră sub inciden</w:t>
      </w:r>
      <w:r w:rsidRPr="00AB7E6D">
        <w:rPr>
          <w:rFonts w:hAnsi="Calibri"/>
          <w:lang w:val="ro-RO"/>
        </w:rPr>
        <w:t>ț</w:t>
      </w:r>
      <w:r w:rsidRPr="00AB7E6D">
        <w:rPr>
          <w:lang w:val="ro-RO"/>
        </w:rPr>
        <w:t>a Schemei ETS</w:t>
      </w:r>
      <w:r w:rsidRPr="00AB7E6D">
        <w:rPr>
          <w:strike/>
          <w:lang w:val="ro-RO"/>
        </w:rPr>
        <w:t>,</w:t>
      </w:r>
      <w:r w:rsidRPr="00AB7E6D">
        <w:rPr>
          <w:lang w:val="ro-RO"/>
        </w:rPr>
        <w:t xml:space="preserve"> au obliga</w:t>
      </w:r>
      <w:r w:rsidRPr="00AB7E6D">
        <w:rPr>
          <w:rFonts w:hAnsi="Calibri"/>
          <w:lang w:val="ro-RO"/>
        </w:rPr>
        <w:t>ț</w:t>
      </w:r>
      <w:r w:rsidRPr="00AB7E6D">
        <w:rPr>
          <w:lang w:val="ro-RO"/>
        </w:rPr>
        <w:t>ia de a restitui în contul din Registrul Unic Consolidat al UE</w:t>
      </w:r>
      <w:r w:rsidRPr="00AB7E6D">
        <w:rPr>
          <w:strike/>
          <w:lang w:val="ro-RO"/>
        </w:rPr>
        <w:t>,</w:t>
      </w:r>
      <w:r w:rsidRPr="00AB7E6D">
        <w:rPr>
          <w:lang w:val="ro-RO"/>
        </w:rPr>
        <w:t xml:space="preserve"> </w:t>
      </w:r>
      <w:r w:rsidRPr="00AB7E6D">
        <w:rPr>
          <w:b/>
          <w:lang w:val="ro-RO"/>
        </w:rPr>
        <w:t>un număr de certificate egal cu cifra din raportul de verificare întocmit de un verificator acreditat</w:t>
      </w:r>
      <w:r w:rsidRPr="00AB7E6D">
        <w:rPr>
          <w:b/>
          <w:color w:val="FF0000"/>
          <w:lang w:val="ro-RO"/>
        </w:rPr>
        <w:t xml:space="preserve">, </w:t>
      </w:r>
      <w:r w:rsidRPr="00AB7E6D">
        <w:rPr>
          <w:b/>
          <w:lang w:val="ro-RO"/>
        </w:rPr>
        <w:t>atestând cantitatea totală de emisii GES provenite de la instala</w:t>
      </w:r>
      <w:r w:rsidRPr="00AB7E6D">
        <w:rPr>
          <w:rFonts w:hAnsi="Calibri"/>
          <w:b/>
          <w:lang w:val="ro-RO"/>
        </w:rPr>
        <w:t>ț</w:t>
      </w:r>
      <w:r w:rsidRPr="00AB7E6D">
        <w:rPr>
          <w:b/>
          <w:lang w:val="ro-RO"/>
        </w:rPr>
        <w:t>iile respective în anul calendaristic anterior („emisiile reale”).</w:t>
      </w:r>
      <w:r w:rsidRPr="00AB7E6D">
        <w:rPr>
          <w:lang w:val="ro-RO"/>
        </w:rPr>
        <w:t xml:space="preserve"> </w:t>
      </w:r>
      <w:r w:rsidRPr="00AB7E6D">
        <w:rPr>
          <w:i/>
          <w:u w:val="single"/>
          <w:lang w:val="ro-RO"/>
        </w:rPr>
        <w:t>Nerespectarea acestei obligaţii în termenul de 30 aprilie conduce la aplicarea unei sanc</w:t>
      </w:r>
      <w:r w:rsidRPr="00AB7E6D">
        <w:rPr>
          <w:rFonts w:hAnsi="Calibri"/>
          <w:i/>
          <w:u w:val="single"/>
          <w:lang w:val="ro-RO"/>
        </w:rPr>
        <w:t>ț</w:t>
      </w:r>
      <w:r w:rsidRPr="00AB7E6D">
        <w:rPr>
          <w:i/>
          <w:u w:val="single"/>
          <w:lang w:val="ro-RO"/>
        </w:rPr>
        <w:t>iuni de 100 euro pentru fiecare certificat care nu a fost restituit</w:t>
      </w:r>
      <w:r w:rsidRPr="00AB7E6D">
        <w:rPr>
          <w:b/>
          <w:i/>
          <w:lang w:val="ro-RO"/>
        </w:rPr>
        <w:t>.</w:t>
      </w:r>
      <w:r w:rsidRPr="00AB7E6D">
        <w:rPr>
          <w:lang w:val="ro-RO"/>
        </w:rPr>
        <w:t xml:space="preserve"> Aplicarea acestei sanc</w:t>
      </w:r>
      <w:r w:rsidRPr="00AB7E6D">
        <w:rPr>
          <w:rFonts w:hAnsi="Calibri"/>
          <w:lang w:val="ro-RO"/>
        </w:rPr>
        <w:t>ț</w:t>
      </w:r>
      <w:r w:rsidRPr="00AB7E6D">
        <w:rPr>
          <w:lang w:val="ro-RO"/>
        </w:rPr>
        <w:t>iuni nu îl exonerează pe operator de la obliga</w:t>
      </w:r>
      <w:r w:rsidRPr="00AB7E6D">
        <w:rPr>
          <w:rFonts w:hAnsi="Calibri"/>
          <w:lang w:val="ro-RO"/>
        </w:rPr>
        <w:t>ț</w:t>
      </w:r>
      <w:r w:rsidRPr="00AB7E6D">
        <w:rPr>
          <w:lang w:val="ro-RO"/>
        </w:rPr>
        <w:t>ia restituirii certificatelor în anul următor.</w:t>
      </w:r>
    </w:p>
    <w:p w:rsidR="00AB7E6D" w:rsidRPr="00AB7E6D" w:rsidRDefault="00AB7E6D" w:rsidP="00455518">
      <w:pPr>
        <w:numPr>
          <w:ilvl w:val="0"/>
          <w:numId w:val="1"/>
        </w:numPr>
        <w:spacing w:before="120" w:after="0" w:line="264" w:lineRule="auto"/>
        <w:ind w:left="1701" w:hanging="283"/>
        <w:rPr>
          <w:b/>
          <w:bCs/>
          <w:u w:val="single"/>
          <w:lang w:val="ro-RO"/>
        </w:rPr>
      </w:pPr>
      <w:r w:rsidRPr="00AB7E6D">
        <w:rPr>
          <w:bCs/>
          <w:lang w:val="ro-RO"/>
        </w:rPr>
        <w:t xml:space="preserve">În data de </w:t>
      </w:r>
      <w:r w:rsidRPr="00AB7E6D">
        <w:rPr>
          <w:b/>
          <w:bCs/>
          <w:u w:val="single"/>
          <w:lang w:val="ro-RO"/>
        </w:rPr>
        <w:t>30 aprilie 2013</w:t>
      </w:r>
      <w:r w:rsidRPr="00AB7E6D">
        <w:rPr>
          <w:b/>
          <w:bCs/>
          <w:lang w:val="ro-RO"/>
        </w:rPr>
        <w:t>,</w:t>
      </w:r>
      <w:r w:rsidRPr="00AB7E6D">
        <w:rPr>
          <w:bCs/>
          <w:lang w:val="ro-RO"/>
        </w:rPr>
        <w:t xml:space="preserve"> </w:t>
      </w:r>
      <w:r w:rsidRPr="00AB7E6D">
        <w:rPr>
          <w:b/>
          <w:lang w:val="ro-RO"/>
        </w:rPr>
        <w:t>SC ELECTROCENTRALE Oradea SA</w:t>
      </w:r>
      <w:r w:rsidRPr="00AB7E6D">
        <w:rPr>
          <w:bCs/>
          <w:lang w:val="ro-RO"/>
        </w:rPr>
        <w:t xml:space="preserve"> figura cu obiga</w:t>
      </w:r>
      <w:r w:rsidRPr="00AB7E6D">
        <w:rPr>
          <w:rFonts w:hAnsi="Calibri"/>
          <w:bCs/>
          <w:lang w:val="ro-RO"/>
        </w:rPr>
        <w:t>ț</w:t>
      </w:r>
      <w:r w:rsidRPr="00AB7E6D">
        <w:rPr>
          <w:bCs/>
          <w:lang w:val="ro-RO"/>
        </w:rPr>
        <w:t xml:space="preserve">ia de </w:t>
      </w:r>
      <w:r w:rsidRPr="00AB7E6D">
        <w:rPr>
          <w:b/>
          <w:bCs/>
          <w:u w:val="single"/>
          <w:lang w:val="ro-RO"/>
        </w:rPr>
        <w:t>334 866 certificate nepredate (penalitatea pentru 1 certificat nepredat fiind de 100 de Euro)</w:t>
      </w:r>
      <w:r w:rsidRPr="00AB7E6D">
        <w:rPr>
          <w:b/>
          <w:bCs/>
          <w:lang w:val="ro-RO"/>
        </w:rPr>
        <w:t>. Pentru predarea acestor certificate,</w:t>
      </w:r>
      <w:r w:rsidRPr="00AB7E6D">
        <w:rPr>
          <w:b/>
          <w:bCs/>
          <w:u w:val="single"/>
          <w:lang w:val="ro-RO"/>
        </w:rPr>
        <w:t xml:space="preserve"> operaţiunea de restituire a fost iniţiată de operator mai târziu, în aceea</w:t>
      </w:r>
      <w:r w:rsidRPr="00AB7E6D">
        <w:rPr>
          <w:rFonts w:hAnsi="Calibri"/>
          <w:b/>
          <w:bCs/>
          <w:u w:val="single"/>
          <w:lang w:val="ro-RO"/>
        </w:rPr>
        <w:t>ș</w:t>
      </w:r>
      <w:r w:rsidRPr="00AB7E6D">
        <w:rPr>
          <w:b/>
          <w:bCs/>
          <w:u w:val="single"/>
          <w:lang w:val="ro-RO"/>
        </w:rPr>
        <w:t xml:space="preserve">i zi de 30 aprilie 2013, </w:t>
      </w:r>
      <w:r w:rsidRPr="00AB7E6D">
        <w:rPr>
          <w:b/>
          <w:bCs/>
          <w:lang w:val="ro-RO"/>
        </w:rPr>
        <w:t xml:space="preserve"> dar a fost </w:t>
      </w:r>
      <w:r w:rsidRPr="00AB7E6D">
        <w:rPr>
          <w:b/>
          <w:bCs/>
          <w:u w:val="single"/>
          <w:lang w:val="ro-RO"/>
        </w:rPr>
        <w:t xml:space="preserve">finalizată în Registru în data de 2 mai 2013, în linie cu prevederile stipulate în </w:t>
      </w:r>
      <w:r w:rsidRPr="00AB7E6D">
        <w:rPr>
          <w:b/>
          <w:lang w:val="ro-RO"/>
        </w:rPr>
        <w:t>Regulamentul (UE) nr. 389/2013 al Comisiei de creare a Registrului Uniunii</w:t>
      </w:r>
      <w:r w:rsidRPr="00AB7E6D">
        <w:rPr>
          <w:b/>
          <w:bCs/>
          <w:lang w:val="ro-RO"/>
        </w:rPr>
        <w:t>.</w:t>
      </w:r>
    </w:p>
    <w:p w:rsidR="00AB7E6D" w:rsidRPr="00AB7E6D" w:rsidRDefault="00AB7E6D" w:rsidP="00455518">
      <w:pPr>
        <w:numPr>
          <w:ilvl w:val="0"/>
          <w:numId w:val="1"/>
        </w:numPr>
        <w:spacing w:before="120" w:after="0" w:line="264" w:lineRule="auto"/>
        <w:ind w:left="1701" w:hanging="283"/>
        <w:rPr>
          <w:lang w:val="ro-RO"/>
        </w:rPr>
      </w:pPr>
      <w:r w:rsidRPr="00AB7E6D">
        <w:rPr>
          <w:bCs/>
          <w:lang w:val="ro-RO"/>
        </w:rPr>
        <w:t xml:space="preserve">Din cauza depăşirii termenului de 30 aprilie 2013, </w:t>
      </w:r>
      <w:r w:rsidRPr="00AB7E6D">
        <w:rPr>
          <w:b/>
          <w:bCs/>
          <w:lang w:val="ro-RO"/>
        </w:rPr>
        <w:t>instalaţia figurează ca fiind neconformă la Comisia Europeană</w:t>
      </w:r>
      <w:r w:rsidRPr="00AB7E6D">
        <w:rPr>
          <w:bCs/>
          <w:lang w:val="ro-RO"/>
        </w:rPr>
        <w:t xml:space="preserve"> pentru cele </w:t>
      </w:r>
      <w:r w:rsidRPr="00AB7E6D">
        <w:rPr>
          <w:b/>
          <w:bCs/>
          <w:lang w:val="ro-RO"/>
        </w:rPr>
        <w:t xml:space="preserve">334 866 </w:t>
      </w:r>
      <w:r w:rsidRPr="00AB7E6D">
        <w:rPr>
          <w:bCs/>
          <w:lang w:val="ro-RO"/>
        </w:rPr>
        <w:t>certificate, respectiv pentru o cantitate de 334 886 tone CO</w:t>
      </w:r>
      <w:r w:rsidRPr="00AB7E6D">
        <w:rPr>
          <w:bCs/>
          <w:vertAlign w:val="subscript"/>
          <w:lang w:val="ro-RO"/>
        </w:rPr>
        <w:t>2</w:t>
      </w:r>
      <w:r w:rsidRPr="00AB7E6D">
        <w:rPr>
          <w:bCs/>
          <w:lang w:val="ro-RO"/>
        </w:rPr>
        <w:t xml:space="preserve"> emise suplimentar fa</w:t>
      </w:r>
      <w:r w:rsidRPr="00AB7E6D">
        <w:rPr>
          <w:rFonts w:hAnsi="Calibri"/>
          <w:bCs/>
          <w:lang w:val="ro-RO"/>
        </w:rPr>
        <w:t>ț</w:t>
      </w:r>
      <w:r w:rsidRPr="00AB7E6D">
        <w:rPr>
          <w:bCs/>
          <w:lang w:val="ro-RO"/>
        </w:rPr>
        <w:t>ă de cantitatea alocată.</w:t>
      </w:r>
    </w:p>
    <w:p w:rsidR="00AB7E6D" w:rsidRPr="00AB7E6D" w:rsidRDefault="00AB7E6D" w:rsidP="00455518">
      <w:pPr>
        <w:numPr>
          <w:ilvl w:val="0"/>
          <w:numId w:val="4"/>
        </w:numPr>
        <w:spacing w:before="120" w:after="0" w:line="264" w:lineRule="auto"/>
        <w:ind w:left="1701" w:hanging="426"/>
        <w:rPr>
          <w:b/>
          <w:lang w:val="ro-RO"/>
        </w:rPr>
      </w:pPr>
      <w:r w:rsidRPr="00AB7E6D">
        <w:rPr>
          <w:b/>
          <w:lang w:val="ro-RO"/>
        </w:rPr>
        <w:t>Institu</w:t>
      </w:r>
      <w:r w:rsidRPr="00AB7E6D">
        <w:rPr>
          <w:rFonts w:hAnsi="Calibri"/>
          <w:b/>
          <w:lang w:val="ro-RO"/>
        </w:rPr>
        <w:t>ț</w:t>
      </w:r>
      <w:r w:rsidRPr="00AB7E6D">
        <w:rPr>
          <w:b/>
          <w:lang w:val="ro-RO"/>
        </w:rPr>
        <w:t>ii na</w:t>
      </w:r>
      <w:r w:rsidRPr="00AB7E6D">
        <w:rPr>
          <w:rFonts w:hAnsi="Calibri"/>
          <w:b/>
          <w:lang w:val="ro-RO"/>
        </w:rPr>
        <w:t>ț</w:t>
      </w:r>
      <w:r w:rsidRPr="00AB7E6D">
        <w:rPr>
          <w:b/>
          <w:lang w:val="ro-RO"/>
        </w:rPr>
        <w:t>ionale cu competen</w:t>
      </w:r>
      <w:r w:rsidRPr="00AB7E6D">
        <w:rPr>
          <w:rFonts w:hAnsi="Calibri"/>
          <w:b/>
          <w:lang w:val="ro-RO"/>
        </w:rPr>
        <w:t>ț</w:t>
      </w:r>
      <w:r w:rsidRPr="00AB7E6D">
        <w:rPr>
          <w:b/>
          <w:lang w:val="ro-RO"/>
        </w:rPr>
        <w:t xml:space="preserve">e în procesul de sesizare, analiză </w:t>
      </w:r>
      <w:r w:rsidRPr="00AB7E6D">
        <w:rPr>
          <w:rFonts w:hAnsi="Calibri"/>
          <w:b/>
          <w:lang w:val="ro-RO"/>
        </w:rPr>
        <w:t>ș</w:t>
      </w:r>
      <w:r w:rsidRPr="00AB7E6D">
        <w:rPr>
          <w:b/>
          <w:lang w:val="ro-RO"/>
        </w:rPr>
        <w:t>i sanc</w:t>
      </w:r>
      <w:r w:rsidRPr="00AB7E6D">
        <w:rPr>
          <w:rFonts w:hAnsi="Calibri"/>
          <w:b/>
          <w:lang w:val="ro-RO"/>
        </w:rPr>
        <w:t>ț</w:t>
      </w:r>
      <w:r w:rsidRPr="00AB7E6D">
        <w:rPr>
          <w:b/>
          <w:lang w:val="ro-RO"/>
        </w:rPr>
        <w:t>ionare a operatorilor neconformi sub schema ETS.</w:t>
      </w:r>
    </w:p>
    <w:p w:rsidR="00AB7E6D" w:rsidRPr="00AB7E6D" w:rsidRDefault="00AB7E6D" w:rsidP="00455518">
      <w:pPr>
        <w:numPr>
          <w:ilvl w:val="0"/>
          <w:numId w:val="5"/>
        </w:numPr>
        <w:spacing w:before="120" w:after="0" w:line="264" w:lineRule="auto"/>
        <w:ind w:left="1701" w:hanging="283"/>
        <w:rPr>
          <w:bCs/>
          <w:lang w:val="ro-RO"/>
        </w:rPr>
      </w:pPr>
      <w:r w:rsidRPr="00AB7E6D">
        <w:rPr>
          <w:bCs/>
          <w:lang w:val="ro-RO"/>
        </w:rPr>
        <w:t>Conform art. 28 (2) din H</w:t>
      </w:r>
      <w:r w:rsidRPr="00AB7E6D">
        <w:rPr>
          <w:bCs/>
          <w:i/>
          <w:lang w:val="ro-RO"/>
        </w:rPr>
        <w:t>.G. nr. 780/2006 privind stabilirea schemei de comercializare a certificatelor de emisii de gaze cu efect de seră</w:t>
      </w:r>
      <w:r w:rsidRPr="00AB7E6D">
        <w:rPr>
          <w:bCs/>
          <w:lang w:val="ro-RO"/>
        </w:rPr>
        <w:t xml:space="preserve">, cu modificările </w:t>
      </w:r>
      <w:r w:rsidRPr="00AB7E6D">
        <w:rPr>
          <w:rFonts w:hAnsi="Calibri"/>
          <w:bCs/>
          <w:lang w:val="ro-RO"/>
        </w:rPr>
        <w:t>ș</w:t>
      </w:r>
      <w:r w:rsidRPr="00AB7E6D">
        <w:rPr>
          <w:bCs/>
          <w:lang w:val="ro-RO"/>
        </w:rPr>
        <w:t xml:space="preserve">i completările ulterioare </w:t>
      </w:r>
      <w:r w:rsidRPr="00AB7E6D">
        <w:rPr>
          <w:b/>
          <w:bCs/>
          <w:lang w:val="ro-RO"/>
        </w:rPr>
        <w:t>autoritatea publică centrală pentru protecţia mediului comunică Administraţiei Fondului pentru Mediu (AFM) situaţia operatorilor care nu au restituit certificatele de emisii de gaze cu efect de seră în condiţiile legii, numărul de certificate nerestituite de fiecare dintre aceştia</w:t>
      </w:r>
      <w:r w:rsidRPr="00AB7E6D">
        <w:rPr>
          <w:bCs/>
          <w:lang w:val="ro-RO"/>
        </w:rPr>
        <w:t>, precum şi alte documente relevante,</w:t>
      </w:r>
    </w:p>
    <w:p w:rsidR="00AB7E6D" w:rsidRPr="00AB7E6D" w:rsidRDefault="00AB7E6D" w:rsidP="00455518">
      <w:pPr>
        <w:numPr>
          <w:ilvl w:val="0"/>
          <w:numId w:val="5"/>
        </w:numPr>
        <w:spacing w:before="120" w:after="0" w:line="264" w:lineRule="auto"/>
        <w:ind w:left="1701"/>
        <w:rPr>
          <w:b/>
          <w:bCs/>
          <w:lang w:val="ro-RO"/>
        </w:rPr>
      </w:pPr>
      <w:r w:rsidRPr="00AB7E6D">
        <w:rPr>
          <w:bCs/>
          <w:lang w:val="ro-RO"/>
        </w:rPr>
        <w:t xml:space="preserve">Conform art. 9  (1) din </w:t>
      </w:r>
      <w:r w:rsidRPr="00AB7E6D">
        <w:rPr>
          <w:bCs/>
          <w:i/>
          <w:lang w:val="ro-RO"/>
        </w:rPr>
        <w:t>Ordonanţa de urgenţă nr. 196 din 22/12/2005 privind Fondul pentru Mediu</w:t>
      </w:r>
      <w:r w:rsidRPr="00AB7E6D">
        <w:rPr>
          <w:bCs/>
          <w:lang w:val="ro-RO"/>
        </w:rPr>
        <w:t xml:space="preserve">, </w:t>
      </w:r>
      <w:r w:rsidRPr="00AB7E6D">
        <w:rPr>
          <w:b/>
          <w:bCs/>
          <w:lang w:val="ro-RO"/>
        </w:rPr>
        <w:t>sumele încasate ca urmare a aplicării penalităţii de 100 euro,</w:t>
      </w:r>
      <w:r w:rsidRPr="00AB7E6D">
        <w:rPr>
          <w:bCs/>
          <w:lang w:val="ro-RO"/>
        </w:rPr>
        <w:t xml:space="preserve"> echivalentă în lei la cursul de schimb leu/euro al Băncii Naţionale a României valabil la data de 1 mai a anului respectiv, pentru fiecare tonă de dioxid de carbon echivalent emisă, plătită de operatorul care nu a restituit certificatele de emisii de gaze cu efect de seră corespunzătoare emisiilor de gaze cu efect de seră generate în anul anterior, în conformitate cu prevederile legale în vigoare, </w:t>
      </w:r>
      <w:r w:rsidRPr="00AB7E6D">
        <w:rPr>
          <w:b/>
          <w:bCs/>
          <w:lang w:val="ro-RO"/>
        </w:rPr>
        <w:t>se constituie venit la Fondul pentru mediu, iar sumele men</w:t>
      </w:r>
      <w:r w:rsidRPr="00AB7E6D">
        <w:rPr>
          <w:rFonts w:hAnsi="Calibri"/>
          <w:b/>
          <w:bCs/>
          <w:lang w:val="ro-RO"/>
        </w:rPr>
        <w:t>ț</w:t>
      </w:r>
      <w:r w:rsidRPr="00AB7E6D">
        <w:rPr>
          <w:b/>
          <w:bCs/>
          <w:lang w:val="ro-RO"/>
        </w:rPr>
        <w:t xml:space="preserve">ionate </w:t>
      </w:r>
      <w:r w:rsidRPr="00AB7E6D">
        <w:rPr>
          <w:lang w:val="ro-RO"/>
        </w:rPr>
        <w:t>se stabilesc prin decizie a AFM şi se plătesc în funcţie de data comunicării deciziei.</w:t>
      </w:r>
    </w:p>
    <w:p w:rsidR="00AB7E6D" w:rsidRPr="00AB7E6D" w:rsidRDefault="00AB7E6D" w:rsidP="00455518">
      <w:pPr>
        <w:numPr>
          <w:ilvl w:val="0"/>
          <w:numId w:val="5"/>
        </w:numPr>
        <w:spacing w:before="120" w:after="0" w:line="264" w:lineRule="auto"/>
        <w:ind w:left="1701"/>
        <w:rPr>
          <w:lang w:val="ro-RO"/>
        </w:rPr>
      </w:pPr>
      <w:r w:rsidRPr="00AB7E6D">
        <w:rPr>
          <w:lang w:val="ro-RO"/>
        </w:rPr>
        <w:t xml:space="preserve">Ministerul Mediului şi Schimbărilor Climatice a urmat toţi paşii legali privind comunicarea către SC ELECTROCENTRALE ORADEA SA referitoare la restituirea certificatelor GES aferente anului 2012, sub schema EU ETS, corespondenţa privind conformarea cu emisiile de CO2 aferente anului 2012 purtându-se  între MMSC şi SC ELECTROCENTRALE Oradea SA, </w:t>
      </w:r>
      <w:r w:rsidRPr="00AB7E6D">
        <w:rPr>
          <w:b/>
          <w:lang w:val="ro-RO"/>
        </w:rPr>
        <w:lastRenderedPageBreak/>
        <w:t>fără implicarea Consiliului Local Oradea, deoarece obliga</w:t>
      </w:r>
      <w:r w:rsidRPr="00AB7E6D">
        <w:rPr>
          <w:rFonts w:hAnsi="Calibri"/>
          <w:b/>
          <w:lang w:val="ro-RO"/>
        </w:rPr>
        <w:t>ț</w:t>
      </w:r>
      <w:r w:rsidRPr="00AB7E6D">
        <w:rPr>
          <w:b/>
          <w:lang w:val="ro-RO"/>
        </w:rPr>
        <w:t>ia de conformare revine operatorului aflat  sub schema ETS</w:t>
      </w:r>
      <w:r w:rsidRPr="00AB7E6D">
        <w:rPr>
          <w:lang w:val="ro-RO"/>
        </w:rPr>
        <w:t xml:space="preserve">. </w:t>
      </w:r>
    </w:p>
    <w:p w:rsidR="00AB7E6D" w:rsidRPr="00AB7E6D" w:rsidRDefault="00AB7E6D" w:rsidP="00455518">
      <w:pPr>
        <w:numPr>
          <w:ilvl w:val="0"/>
          <w:numId w:val="4"/>
        </w:numPr>
        <w:spacing w:before="120" w:after="0" w:line="264" w:lineRule="auto"/>
        <w:ind w:left="1701" w:hanging="426"/>
        <w:rPr>
          <w:b/>
          <w:lang w:val="ro-RO"/>
        </w:rPr>
      </w:pPr>
      <w:r w:rsidRPr="00AB7E6D">
        <w:rPr>
          <w:b/>
          <w:lang w:val="ro-RO"/>
        </w:rPr>
        <w:t>Ce măsuri a întreprins MMSC în această spe</w:t>
      </w:r>
      <w:r w:rsidRPr="00AB7E6D">
        <w:rPr>
          <w:rFonts w:hAnsi="Calibri"/>
          <w:b/>
          <w:lang w:val="ro-RO"/>
        </w:rPr>
        <w:t>ț</w:t>
      </w:r>
      <w:r w:rsidRPr="00AB7E6D">
        <w:rPr>
          <w:b/>
          <w:lang w:val="ro-RO"/>
        </w:rPr>
        <w:t>ă?</w:t>
      </w:r>
    </w:p>
    <w:p w:rsidR="00AB7E6D" w:rsidRPr="00AB7E6D" w:rsidRDefault="00AB7E6D" w:rsidP="00455518">
      <w:pPr>
        <w:numPr>
          <w:ilvl w:val="0"/>
          <w:numId w:val="2"/>
        </w:numPr>
        <w:spacing w:before="120" w:after="0" w:line="264" w:lineRule="auto"/>
        <w:ind w:left="1701" w:hanging="383"/>
        <w:rPr>
          <w:lang w:val="ro-RO"/>
        </w:rPr>
      </w:pPr>
      <w:r w:rsidRPr="00AB7E6D">
        <w:rPr>
          <w:b/>
          <w:lang w:val="ro-RO"/>
        </w:rPr>
        <w:t xml:space="preserve">În data de </w:t>
      </w:r>
      <w:r w:rsidRPr="00AB7E6D">
        <w:rPr>
          <w:b/>
          <w:u w:val="single"/>
          <w:lang w:val="ro-RO"/>
        </w:rPr>
        <w:t>28 februarie 2013</w:t>
      </w:r>
      <w:r w:rsidRPr="00AB7E6D">
        <w:rPr>
          <w:b/>
          <w:lang w:val="ro-RO"/>
        </w:rPr>
        <w:t>, MMSC a informat operatorul prin adresă</w:t>
      </w:r>
      <w:r w:rsidRPr="00AB7E6D">
        <w:rPr>
          <w:b/>
          <w:vertAlign w:val="superscript"/>
          <w:lang w:val="ro-RO"/>
        </w:rPr>
        <w:footnoteReference w:id="1"/>
      </w:r>
      <w:r w:rsidRPr="00AB7E6D">
        <w:rPr>
          <w:b/>
          <w:lang w:val="ro-RO"/>
        </w:rPr>
        <w:t xml:space="preserve"> oficială</w:t>
      </w:r>
      <w:r w:rsidRPr="00AB7E6D">
        <w:rPr>
          <w:lang w:val="ro-RO"/>
        </w:rPr>
        <w:t xml:space="preserve"> despre faptul că </w:t>
      </w:r>
      <w:r w:rsidRPr="00AB7E6D">
        <w:rPr>
          <w:b/>
          <w:lang w:val="ro-RO"/>
        </w:rPr>
        <w:t xml:space="preserve">returnarea certificatelor aferente anului 2012 trebuie realizată până cel târziu la 30 aprilie 2013, </w:t>
      </w:r>
      <w:r w:rsidRPr="00AB7E6D">
        <w:rPr>
          <w:lang w:val="ro-RO"/>
        </w:rPr>
        <w:t>conform instrucţiunilor din Manualul utilizatorului – disponibil pe site-ul Comisiei Europene</w:t>
      </w:r>
      <w:r w:rsidRPr="00AB7E6D">
        <w:rPr>
          <w:b/>
          <w:lang w:val="ro-RO"/>
        </w:rPr>
        <w:t>.</w:t>
      </w:r>
      <w:r w:rsidRPr="00AB7E6D">
        <w:rPr>
          <w:lang w:val="ro-RO"/>
        </w:rPr>
        <w:t xml:space="preserve"> Prin aceeaşi adresă, s-a atras atenţia operatorului că </w:t>
      </w:r>
      <w:r w:rsidRPr="00AB7E6D">
        <w:rPr>
          <w:b/>
          <w:lang w:val="ro-RO"/>
        </w:rPr>
        <w:t>în situaţia în care reprezentanţii săi autorizaţi responsabili cu operaţiunile din cont</w:t>
      </w:r>
      <w:r w:rsidRPr="00AB7E6D">
        <w:rPr>
          <w:b/>
          <w:strike/>
          <w:lang w:val="ro-RO"/>
        </w:rPr>
        <w:t>,</w:t>
      </w:r>
      <w:r w:rsidRPr="00AB7E6D">
        <w:rPr>
          <w:b/>
          <w:lang w:val="ro-RO"/>
        </w:rPr>
        <w:t xml:space="preserve"> nu vor parcurge etapele necesare accesării şi administrării contului, pentru a permite finalizarea etapei de „conformare” pentru anul 2012</w:t>
      </w:r>
      <w:r w:rsidRPr="00AB7E6D">
        <w:rPr>
          <w:lang w:val="ro-RO"/>
        </w:rPr>
        <w:t xml:space="preserve">, există </w:t>
      </w:r>
      <w:r w:rsidRPr="00AB7E6D">
        <w:rPr>
          <w:b/>
          <w:lang w:val="ro-RO"/>
        </w:rPr>
        <w:t>riscul ca după data de 1 mai 2013 instalaţia să fie neconformă în Registru</w:t>
      </w:r>
      <w:r w:rsidRPr="00AB7E6D">
        <w:rPr>
          <w:lang w:val="ro-RO"/>
        </w:rPr>
        <w:t xml:space="preserve">, aplicându-se în această situaţie penalitatea de </w:t>
      </w:r>
      <w:r w:rsidRPr="00AB7E6D">
        <w:rPr>
          <w:b/>
          <w:lang w:val="ro-RO"/>
        </w:rPr>
        <w:t>100 de EURO</w:t>
      </w:r>
      <w:r w:rsidRPr="00AB7E6D">
        <w:rPr>
          <w:lang w:val="ro-RO"/>
        </w:rPr>
        <w:t xml:space="preserve"> pentru fiecare tonă de CO</w:t>
      </w:r>
      <w:r w:rsidRPr="00AB7E6D">
        <w:rPr>
          <w:vertAlign w:val="subscript"/>
          <w:lang w:val="ro-RO"/>
        </w:rPr>
        <w:t>2</w:t>
      </w:r>
      <w:r w:rsidRPr="00AB7E6D">
        <w:rPr>
          <w:lang w:val="ro-RO"/>
        </w:rPr>
        <w:t xml:space="preserve"> pentru care operatorul nu a restituit certificatele. </w:t>
      </w:r>
    </w:p>
    <w:p w:rsidR="00AB7E6D" w:rsidRPr="00AB7E6D" w:rsidRDefault="00AB7E6D" w:rsidP="00455518">
      <w:pPr>
        <w:spacing w:before="120" w:line="264" w:lineRule="auto"/>
        <w:ind w:firstLine="11"/>
        <w:rPr>
          <w:lang w:val="ro-RO"/>
        </w:rPr>
      </w:pPr>
      <w:r w:rsidRPr="00AB7E6D">
        <w:rPr>
          <w:bCs/>
          <w:i/>
          <w:u w:val="single"/>
          <w:lang w:val="ro-RO"/>
        </w:rPr>
        <w:t>Notă:</w:t>
      </w:r>
      <w:r w:rsidRPr="00AB7E6D">
        <w:rPr>
          <w:b/>
          <w:bCs/>
          <w:lang w:val="ro-RO"/>
        </w:rPr>
        <w:t xml:space="preserve"> </w:t>
      </w:r>
      <w:r w:rsidRPr="00AB7E6D">
        <w:rPr>
          <w:i/>
          <w:lang w:val="ro-RO"/>
        </w:rPr>
        <w:t xml:space="preserve">Manualul utilizatorului disponibil pe site-ul Comisiei Europene conţine etapele care trebuie realizate de operatorii de sub EU ETS pentru „conformarea” în Registru, inclusiv specificarea faptului că </w:t>
      </w:r>
      <w:r w:rsidRPr="00AB7E6D">
        <w:rPr>
          <w:b/>
          <w:i/>
          <w:u w:val="single"/>
          <w:lang w:val="ro-RO"/>
        </w:rPr>
        <w:t>operaţiunea de restituire a certificatelor se finalizează cu status-ul de „completed” doar după parcurgerea unui număr de 26 de ore</w:t>
      </w:r>
      <w:r w:rsidRPr="00AB7E6D">
        <w:rPr>
          <w:b/>
          <w:i/>
          <w:u w:val="single"/>
          <w:vertAlign w:val="superscript"/>
          <w:lang w:val="ro-RO"/>
        </w:rPr>
        <w:footnoteReference w:id="2"/>
      </w:r>
      <w:r w:rsidRPr="00AB7E6D">
        <w:rPr>
          <w:b/>
          <w:i/>
          <w:u w:val="single"/>
          <w:lang w:val="ro-RO"/>
        </w:rPr>
        <w:t xml:space="preserve"> de la iniţierea operaţiunii de către operator</w:t>
      </w:r>
      <w:r w:rsidRPr="00AB7E6D">
        <w:rPr>
          <w:i/>
          <w:u w:val="single"/>
          <w:lang w:val="ro-RO"/>
        </w:rPr>
        <w:t xml:space="preserve"> </w:t>
      </w:r>
      <w:r w:rsidRPr="00AB7E6D">
        <w:rPr>
          <w:i/>
          <w:lang w:val="ro-RO"/>
        </w:rPr>
        <w:t>(curgerea acestui interval se suspendă în zilele de sâmbătă şi duminică între orele: 00.00 şi 24.00</w:t>
      </w:r>
      <w:r w:rsidRPr="00AB7E6D">
        <w:rPr>
          <w:lang w:val="ro-RO"/>
        </w:rPr>
        <w:t xml:space="preserve">). </w:t>
      </w:r>
    </w:p>
    <w:p w:rsidR="00AB7E6D" w:rsidRPr="00AB7E6D" w:rsidRDefault="00AB7E6D" w:rsidP="00455518">
      <w:pPr>
        <w:numPr>
          <w:ilvl w:val="0"/>
          <w:numId w:val="2"/>
        </w:numPr>
        <w:spacing w:before="120" w:after="0" w:line="264" w:lineRule="auto"/>
        <w:ind w:left="1701"/>
        <w:rPr>
          <w:b/>
          <w:lang w:val="ro-RO"/>
        </w:rPr>
      </w:pPr>
      <w:r w:rsidRPr="00AB7E6D">
        <w:rPr>
          <w:b/>
          <w:lang w:val="ro-RO"/>
        </w:rPr>
        <w:t xml:space="preserve">În data de </w:t>
      </w:r>
      <w:r w:rsidRPr="00AB7E6D">
        <w:rPr>
          <w:b/>
          <w:u w:val="single"/>
          <w:lang w:val="ro-RO"/>
        </w:rPr>
        <w:t xml:space="preserve">26 aprilie </w:t>
      </w:r>
      <w:r w:rsidRPr="00AB7E6D">
        <w:rPr>
          <w:rFonts w:hAnsi="Calibri"/>
          <w:b/>
          <w:u w:val="single"/>
          <w:lang w:val="ro-RO"/>
        </w:rPr>
        <w:t>ș</w:t>
      </w:r>
      <w:r w:rsidRPr="00AB7E6D">
        <w:rPr>
          <w:b/>
          <w:u w:val="single"/>
          <w:lang w:val="ro-RO"/>
        </w:rPr>
        <w:t>i, respectiv, 29 aprilie 2013</w:t>
      </w:r>
      <w:r w:rsidRPr="00AB7E6D">
        <w:rPr>
          <w:b/>
          <w:lang w:val="ro-RO"/>
        </w:rPr>
        <w:t>, MMSC a informat reprezentanţii SC ELECTROCENTRALE Oradea SA</w:t>
      </w:r>
      <w:r w:rsidRPr="00AB7E6D">
        <w:rPr>
          <w:lang w:val="ro-RO"/>
        </w:rPr>
        <w:t xml:space="preserve"> despre etapele pe care trebuie să le parcurgă reprezentanţii autorizaţi în contul din Registrul Unic Consolidat pentru a realiza „conformarea” aferentă anului 2012 până cel târziu la data de 30 aprilie 2013, </w:t>
      </w:r>
    </w:p>
    <w:p w:rsidR="00AB7E6D" w:rsidRPr="00AB7E6D" w:rsidRDefault="00AB7E6D" w:rsidP="00455518">
      <w:pPr>
        <w:numPr>
          <w:ilvl w:val="0"/>
          <w:numId w:val="2"/>
        </w:numPr>
        <w:spacing w:before="120" w:after="0" w:line="264" w:lineRule="auto"/>
        <w:ind w:left="1701"/>
        <w:rPr>
          <w:b/>
          <w:lang w:val="ro-RO"/>
        </w:rPr>
      </w:pPr>
      <w:r w:rsidRPr="00AB7E6D">
        <w:rPr>
          <w:b/>
          <w:lang w:val="ro-RO"/>
        </w:rPr>
        <w:t xml:space="preserve">În perioada </w:t>
      </w:r>
      <w:r w:rsidRPr="00AB7E6D">
        <w:rPr>
          <w:b/>
          <w:u w:val="single"/>
          <w:lang w:val="ro-RO"/>
        </w:rPr>
        <w:t xml:space="preserve">mai-iunie 2013, </w:t>
      </w:r>
      <w:r w:rsidRPr="00AB7E6D">
        <w:rPr>
          <w:b/>
          <w:lang w:val="ro-RO"/>
        </w:rPr>
        <w:t>MMSC s-a consultat cu Comisia Europeană</w:t>
      </w:r>
      <w:r w:rsidRPr="00AB7E6D">
        <w:rPr>
          <w:lang w:val="ro-RO"/>
        </w:rPr>
        <w:t xml:space="preserve"> privind posibilitatea legală de a exonera operatorul de la plata penalităţii de 100 EURO, invocându-se buna credinţă a operatorului întrucât la data de 30 aprilie 2013 acesta avea în contul din Registru cele </w:t>
      </w:r>
      <w:r w:rsidRPr="00AB7E6D">
        <w:rPr>
          <w:b/>
          <w:bCs/>
          <w:lang w:val="ro-RO"/>
        </w:rPr>
        <w:t xml:space="preserve">334.866 certificate. Răspunsul COM este unul nefavorabil operatorului, prin faptul că nu există o bază legală pentru exonerarea de la această penalitate, </w:t>
      </w:r>
      <w:r w:rsidRPr="00AB7E6D">
        <w:rPr>
          <w:bCs/>
          <w:lang w:val="ro-RO"/>
        </w:rPr>
        <w:t xml:space="preserve">aceasta precizând că </w:t>
      </w:r>
      <w:r w:rsidRPr="00AB7E6D">
        <w:rPr>
          <w:b/>
          <w:bCs/>
          <w:lang w:val="ro-RO"/>
        </w:rPr>
        <w:t>operatorul,</w:t>
      </w:r>
      <w:r w:rsidRPr="00AB7E6D">
        <w:rPr>
          <w:bCs/>
          <w:lang w:val="ro-RO"/>
        </w:rPr>
        <w:t xml:space="preserve"> după ce a realizat vânzarea certificatelor emise în cont pentru anul 2012,</w:t>
      </w:r>
      <w:r w:rsidRPr="00AB7E6D">
        <w:rPr>
          <w:b/>
          <w:bCs/>
          <w:lang w:val="ro-RO"/>
        </w:rPr>
        <w:t xml:space="preserve"> era obligat să se asigure că are suficiente certificate pentru finalizarea conformării </w:t>
      </w:r>
      <w:r w:rsidRPr="00AB7E6D">
        <w:rPr>
          <w:rFonts w:hAnsi="Calibri"/>
          <w:b/>
          <w:bCs/>
          <w:lang w:val="ro-RO"/>
        </w:rPr>
        <w:t>ș</w:t>
      </w:r>
      <w:r w:rsidRPr="00AB7E6D">
        <w:rPr>
          <w:b/>
          <w:bCs/>
          <w:lang w:val="ro-RO"/>
        </w:rPr>
        <w:t xml:space="preserve">i că va derula la timp toate procedurile, </w:t>
      </w:r>
      <w:r w:rsidRPr="00AB7E6D">
        <w:rPr>
          <w:rFonts w:hAnsi="Calibri"/>
          <w:b/>
          <w:bCs/>
          <w:lang w:val="ro-RO"/>
        </w:rPr>
        <w:t>ț</w:t>
      </w:r>
      <w:r w:rsidRPr="00AB7E6D">
        <w:rPr>
          <w:b/>
          <w:bCs/>
          <w:lang w:val="ro-RO"/>
        </w:rPr>
        <w:t xml:space="preserve">inând cont </w:t>
      </w:r>
      <w:r w:rsidRPr="00AB7E6D">
        <w:rPr>
          <w:rFonts w:hAnsi="Calibri"/>
          <w:b/>
          <w:bCs/>
          <w:lang w:val="ro-RO"/>
        </w:rPr>
        <w:t>ș</w:t>
      </w:r>
      <w:r w:rsidRPr="00AB7E6D">
        <w:rPr>
          <w:b/>
          <w:bCs/>
          <w:lang w:val="ro-RO"/>
        </w:rPr>
        <w:t xml:space="preserve">i de intervalul pentru confirmarea statusului conformării stipulat de </w:t>
      </w:r>
      <w:r w:rsidRPr="00AB7E6D">
        <w:rPr>
          <w:b/>
          <w:lang w:val="ro-RO"/>
        </w:rPr>
        <w:t>Regulamentul (UE) nr. 389/2013 al Comisiei de creare a Registrului Uniunii Europene</w:t>
      </w:r>
      <w:r w:rsidRPr="00AB7E6D">
        <w:rPr>
          <w:b/>
          <w:bCs/>
          <w:lang w:val="ro-RO"/>
        </w:rPr>
        <w:t>.</w:t>
      </w:r>
    </w:p>
    <w:p w:rsidR="00AB7E6D" w:rsidRPr="00AB7E6D" w:rsidRDefault="00AB7E6D" w:rsidP="00455518">
      <w:pPr>
        <w:spacing w:before="120" w:line="264" w:lineRule="auto"/>
        <w:rPr>
          <w:b/>
          <w:lang w:val="ro-RO"/>
        </w:rPr>
      </w:pPr>
      <w:r w:rsidRPr="00AB7E6D">
        <w:rPr>
          <w:b/>
          <w:bCs/>
          <w:lang w:val="ro-RO"/>
        </w:rPr>
        <w:t xml:space="preserve"> </w:t>
      </w:r>
    </w:p>
    <w:p w:rsidR="00AB7E6D" w:rsidRPr="00AB7E6D" w:rsidRDefault="00AB7E6D" w:rsidP="00455518">
      <w:pPr>
        <w:numPr>
          <w:ilvl w:val="0"/>
          <w:numId w:val="4"/>
        </w:numPr>
        <w:spacing w:before="120" w:after="0" w:line="264" w:lineRule="auto"/>
        <w:ind w:left="1701" w:hanging="426"/>
        <w:rPr>
          <w:b/>
          <w:lang w:val="ro-RO"/>
        </w:rPr>
      </w:pPr>
      <w:r w:rsidRPr="00AB7E6D">
        <w:rPr>
          <w:b/>
          <w:lang w:val="ro-RO"/>
        </w:rPr>
        <w:t>Solu</w:t>
      </w:r>
      <w:r w:rsidRPr="00AB7E6D">
        <w:rPr>
          <w:rFonts w:hAnsi="Calibri"/>
          <w:b/>
          <w:lang w:val="ro-RO"/>
        </w:rPr>
        <w:t>ț</w:t>
      </w:r>
      <w:r w:rsidRPr="00AB7E6D">
        <w:rPr>
          <w:b/>
          <w:lang w:val="ro-RO"/>
        </w:rPr>
        <w:t>ionarea situa</w:t>
      </w:r>
      <w:r w:rsidRPr="00AB7E6D">
        <w:rPr>
          <w:rFonts w:hAnsi="Calibri"/>
          <w:b/>
          <w:lang w:val="ro-RO"/>
        </w:rPr>
        <w:t>ț</w:t>
      </w:r>
      <w:r w:rsidRPr="00AB7E6D">
        <w:rPr>
          <w:b/>
          <w:lang w:val="ro-RO"/>
        </w:rPr>
        <w:t xml:space="preserve">iilor  similare </w:t>
      </w:r>
    </w:p>
    <w:p w:rsidR="00AB7E6D" w:rsidRPr="00AB7E6D" w:rsidRDefault="00AB7E6D" w:rsidP="00455518">
      <w:pPr>
        <w:spacing w:before="120" w:line="264" w:lineRule="auto"/>
        <w:rPr>
          <w:bCs/>
          <w:lang w:val="af-ZA"/>
        </w:rPr>
      </w:pPr>
      <w:r w:rsidRPr="00AB7E6D">
        <w:rPr>
          <w:bCs/>
          <w:lang w:val="ro-RO"/>
        </w:rPr>
        <w:t>În anul 2010</w:t>
      </w:r>
      <w:r w:rsidRPr="00AB7E6D">
        <w:rPr>
          <w:bCs/>
          <w:lang w:val="af-ZA"/>
        </w:rPr>
        <w:t>,  s-a constatat că un număr de 12 operatori afla</w:t>
      </w:r>
      <w:r w:rsidRPr="00AB7E6D">
        <w:rPr>
          <w:rFonts w:hAnsi="Calibri"/>
          <w:bCs/>
          <w:lang w:val="af-ZA"/>
        </w:rPr>
        <w:t>ț</w:t>
      </w:r>
      <w:r w:rsidRPr="00AB7E6D">
        <w:rPr>
          <w:bCs/>
          <w:lang w:val="af-ZA"/>
        </w:rPr>
        <w:t>i sub ETS nu au realizat conformarea până la data de 30 aprilie 2010, pentru emisiile aferente anului 2009, fiind declara</w:t>
      </w:r>
      <w:r w:rsidRPr="00AB7E6D">
        <w:rPr>
          <w:rFonts w:hAnsi="Calibri"/>
          <w:bCs/>
          <w:lang w:val="af-ZA"/>
        </w:rPr>
        <w:t>ț</w:t>
      </w:r>
      <w:r w:rsidRPr="00AB7E6D">
        <w:rPr>
          <w:bCs/>
          <w:lang w:val="af-ZA"/>
        </w:rPr>
        <w:t>i neconformi de către  Comisia Europeană. Pentru a veni în sprijinul operatorilor, Ministerul Mediului a făcut demersuri la Comisia Europeană în vederea găsirii unei solu</w:t>
      </w:r>
      <w:r w:rsidRPr="00AB7E6D">
        <w:rPr>
          <w:rFonts w:hAnsi="Calibri"/>
          <w:bCs/>
          <w:lang w:val="af-ZA"/>
        </w:rPr>
        <w:t>ț</w:t>
      </w:r>
      <w:r w:rsidRPr="00AB7E6D">
        <w:rPr>
          <w:bCs/>
          <w:lang w:val="af-ZA"/>
        </w:rPr>
        <w:t>ii pentru neaplicarea sanc</w:t>
      </w:r>
      <w:r w:rsidRPr="00AB7E6D">
        <w:rPr>
          <w:rFonts w:hAnsi="Calibri"/>
          <w:bCs/>
          <w:lang w:val="af-ZA"/>
        </w:rPr>
        <w:t>ț</w:t>
      </w:r>
      <w:r w:rsidRPr="00AB7E6D">
        <w:rPr>
          <w:bCs/>
          <w:lang w:val="af-ZA"/>
        </w:rPr>
        <w:t>iunilor contraven</w:t>
      </w:r>
      <w:r w:rsidRPr="00AB7E6D">
        <w:rPr>
          <w:rFonts w:hAnsi="Calibri"/>
          <w:bCs/>
          <w:lang w:val="af-ZA"/>
        </w:rPr>
        <w:t>ț</w:t>
      </w:r>
      <w:r w:rsidRPr="00AB7E6D">
        <w:rPr>
          <w:bCs/>
          <w:lang w:val="af-ZA"/>
        </w:rPr>
        <w:t xml:space="preserve">ionale pentru anul de conformare 2009. </w:t>
      </w:r>
      <w:r w:rsidRPr="00AB7E6D">
        <w:rPr>
          <w:bCs/>
          <w:lang w:val="af-ZA"/>
        </w:rPr>
        <w:lastRenderedPageBreak/>
        <w:t xml:space="preserve">Răspunsul primit de la COM a fost nefavorabil precizându-se că nu există niciun temei legal pentru scutirea de la plata penalizărilor a celor 12 operatori. </w:t>
      </w:r>
    </w:p>
    <w:p w:rsidR="00AB7E6D" w:rsidRPr="00AB7E6D" w:rsidRDefault="00AB7E6D" w:rsidP="00455518">
      <w:pPr>
        <w:spacing w:before="120" w:line="264" w:lineRule="auto"/>
        <w:rPr>
          <w:bCs/>
          <w:lang w:val="af-ZA"/>
        </w:rPr>
      </w:pPr>
      <w:r w:rsidRPr="00AB7E6D">
        <w:rPr>
          <w:bCs/>
          <w:lang w:val="af-ZA"/>
        </w:rPr>
        <w:t>Pentru ace</w:t>
      </w:r>
      <w:r w:rsidRPr="00AB7E6D">
        <w:rPr>
          <w:bCs/>
          <w:lang w:val="ro-RO"/>
        </w:rPr>
        <w:t xml:space="preserve">ştia, </w:t>
      </w:r>
      <w:r w:rsidRPr="00AB7E6D">
        <w:rPr>
          <w:bCs/>
          <w:lang w:val="af-ZA"/>
        </w:rPr>
        <w:t>Administra</w:t>
      </w:r>
      <w:r w:rsidRPr="00AB7E6D">
        <w:rPr>
          <w:rFonts w:hAnsi="Cambria Math" w:cs="Cambria Math"/>
          <w:bCs/>
          <w:lang w:val="af-ZA"/>
        </w:rPr>
        <w:t>ț</w:t>
      </w:r>
      <w:r w:rsidRPr="00AB7E6D">
        <w:rPr>
          <w:bCs/>
          <w:lang w:val="af-ZA"/>
        </w:rPr>
        <w:t>ia Fondului pentru Mediu a emis deciziile legale de impunere a penalită</w:t>
      </w:r>
      <w:r w:rsidRPr="00AB7E6D">
        <w:rPr>
          <w:rFonts w:hAnsi="Cambria Math" w:cs="Cambria Math"/>
          <w:bCs/>
          <w:lang w:val="af-ZA"/>
        </w:rPr>
        <w:t>ț</w:t>
      </w:r>
      <w:r w:rsidRPr="00AB7E6D">
        <w:rPr>
          <w:bCs/>
          <w:lang w:val="af-ZA"/>
        </w:rPr>
        <w:t>ilor.</w:t>
      </w:r>
    </w:p>
    <w:p w:rsidR="00AB7E6D" w:rsidRPr="00AB7E6D" w:rsidRDefault="00AB7E6D" w:rsidP="00455518">
      <w:pPr>
        <w:spacing w:before="120" w:line="264" w:lineRule="auto"/>
        <w:rPr>
          <w:bCs/>
          <w:lang w:val="af-ZA"/>
        </w:rPr>
      </w:pPr>
      <w:r w:rsidRPr="00AB7E6D">
        <w:rPr>
          <w:bCs/>
          <w:lang w:val="af-ZA"/>
        </w:rPr>
        <w:t>Referitor la situaţia invocată de către Primăria Municipiului Oradea în cazul altor 3 operatori declara</w:t>
      </w:r>
      <w:r w:rsidRPr="00AB7E6D">
        <w:rPr>
          <w:rFonts w:hAnsi="Calibri"/>
          <w:bCs/>
          <w:lang w:val="af-ZA"/>
        </w:rPr>
        <w:t>ț</w:t>
      </w:r>
      <w:r w:rsidRPr="00AB7E6D">
        <w:rPr>
          <w:bCs/>
          <w:lang w:val="af-ZA"/>
        </w:rPr>
        <w:t>i neconformi, vă comunicăm următoarele:</w:t>
      </w:r>
    </w:p>
    <w:p w:rsidR="00AB7E6D" w:rsidRPr="00AB7E6D" w:rsidRDefault="00AB7E6D" w:rsidP="00455518">
      <w:pPr>
        <w:pStyle w:val="ListParagraph"/>
        <w:numPr>
          <w:ilvl w:val="0"/>
          <w:numId w:val="6"/>
        </w:numPr>
        <w:spacing w:after="120" w:line="276" w:lineRule="auto"/>
        <w:ind w:left="1701"/>
        <w:jc w:val="both"/>
        <w:rPr>
          <w:rFonts w:ascii="Trebuchet MS" w:eastAsia="MS Mincho" w:hAnsi="Trebuchet MS"/>
          <w:u w:val="single"/>
        </w:rPr>
      </w:pPr>
      <w:r w:rsidRPr="00AB7E6D">
        <w:rPr>
          <w:rFonts w:ascii="Trebuchet MS" w:eastAsia="MS Mincho" w:hAnsi="Trebuchet MS"/>
          <w:b/>
        </w:rPr>
        <w:t xml:space="preserve">Operatorul S.C. Complex Energetic Oltenia S.A - SE Turceni </w:t>
      </w:r>
      <w:r w:rsidRPr="00AB7E6D">
        <w:rPr>
          <w:rFonts w:ascii="Trebuchet MS" w:eastAsia="MS Mincho" w:hAnsi="Trebuchet MS"/>
        </w:rPr>
        <w:t>a restituit certificatele aferente anului 2011 în soft, în termen legal (4 aprilie 2012), dar din cauza</w:t>
      </w:r>
      <w:r w:rsidRPr="00AB7E6D">
        <w:rPr>
          <w:rFonts w:ascii="Trebuchet MS" w:eastAsia="MS Mincho" w:hAnsi="Trebuchet MS"/>
          <w:color w:val="FF0000"/>
        </w:rPr>
        <w:t xml:space="preserve"> </w:t>
      </w:r>
      <w:r w:rsidRPr="00AB7E6D">
        <w:rPr>
          <w:rFonts w:ascii="Trebuchet MS" w:eastAsia="MS Mincho" w:hAnsi="Trebuchet MS"/>
        </w:rPr>
        <w:t>unei erori a softului Comisiei, aceasta nu a fost finalizată.</w:t>
      </w:r>
    </w:p>
    <w:p w:rsidR="00AB7E6D" w:rsidRPr="00AB7E6D" w:rsidRDefault="00AB7E6D" w:rsidP="00455518">
      <w:pPr>
        <w:pStyle w:val="ListParagraph"/>
        <w:numPr>
          <w:ilvl w:val="0"/>
          <w:numId w:val="6"/>
        </w:numPr>
        <w:spacing w:after="120" w:line="276" w:lineRule="auto"/>
        <w:ind w:left="1701"/>
        <w:jc w:val="both"/>
        <w:rPr>
          <w:rFonts w:ascii="Trebuchet MS" w:eastAsia="MS Mincho" w:hAnsi="Trebuchet MS"/>
        </w:rPr>
      </w:pPr>
      <w:r w:rsidRPr="00AB7E6D">
        <w:rPr>
          <w:rFonts w:ascii="Trebuchet MS" w:eastAsia="MS Mincho" w:hAnsi="Trebuchet MS"/>
        </w:rPr>
        <w:t>În urma coresponden</w:t>
      </w:r>
      <w:r w:rsidRPr="00AB7E6D">
        <w:rPr>
          <w:rFonts w:ascii="Trebuchet MS" w:eastAsia="MS Mincho"/>
        </w:rPr>
        <w:t>ț</w:t>
      </w:r>
      <w:r w:rsidRPr="00AB7E6D">
        <w:rPr>
          <w:rFonts w:ascii="Trebuchet MS" w:eastAsia="MS Mincho" w:hAnsi="Trebuchet MS"/>
        </w:rPr>
        <w:t>ei  purtată intre MMSC si reprezentan</w:t>
      </w:r>
      <w:r w:rsidRPr="00AB7E6D">
        <w:rPr>
          <w:rFonts w:ascii="Trebuchet MS" w:eastAsia="MS Mincho"/>
        </w:rPr>
        <w:t>ț</w:t>
      </w:r>
      <w:r w:rsidRPr="00AB7E6D">
        <w:rPr>
          <w:rFonts w:ascii="Trebuchet MS" w:eastAsia="MS Mincho" w:hAnsi="Trebuchet MS"/>
        </w:rPr>
        <w:t xml:space="preserve">ii COM, aceasta a solicitat </w:t>
      </w:r>
      <w:r w:rsidRPr="00AB7E6D">
        <w:rPr>
          <w:rFonts w:ascii="Trebuchet MS" w:eastAsia="MS Mincho" w:hAnsi="Trebuchet MS"/>
          <w:i/>
        </w:rPr>
        <w:t xml:space="preserve">operatorului să reia operatiunea de restituire a certificatelor rejectate care </w:t>
      </w:r>
      <w:r w:rsidRPr="00AB7E6D">
        <w:rPr>
          <w:rFonts w:ascii="Trebuchet MS" w:eastAsia="MS Mincho" w:hAnsi="Trebuchet MS"/>
          <w:b/>
          <w:i/>
        </w:rPr>
        <w:t xml:space="preserve">s-a finalizat după termenul limită de 30 aprilie. Astfel, </w:t>
      </w:r>
      <w:r w:rsidRPr="00AB7E6D">
        <w:rPr>
          <w:rFonts w:ascii="Trebuchet MS" w:eastAsia="MS Mincho" w:hAnsi="Trebuchet MS"/>
        </w:rPr>
        <w:t xml:space="preserve">Comisia a comunicat Ministerului Mediului </w:t>
      </w:r>
      <w:r w:rsidRPr="00AB7E6D">
        <w:rPr>
          <w:rFonts w:ascii="Trebuchet MS" w:eastAsia="MS Mincho"/>
        </w:rPr>
        <w:t>ș</w:t>
      </w:r>
      <w:r w:rsidRPr="00AB7E6D">
        <w:rPr>
          <w:rFonts w:ascii="Trebuchet MS" w:eastAsia="MS Mincho" w:hAnsi="Trebuchet MS"/>
        </w:rPr>
        <w:t>i Schimbărilor Climatice că în această situa</w:t>
      </w:r>
      <w:r w:rsidRPr="00AB7E6D">
        <w:rPr>
          <w:rFonts w:ascii="Trebuchet MS" w:eastAsia="MS Mincho"/>
        </w:rPr>
        <w:t>ț</w:t>
      </w:r>
      <w:r w:rsidRPr="00AB7E6D">
        <w:rPr>
          <w:rFonts w:ascii="Trebuchet MS" w:eastAsia="MS Mincho" w:hAnsi="Trebuchet MS"/>
        </w:rPr>
        <w:t>ie operatorul este considerat “conform”, motiv pentru care nu au fost demarate proceduri de penalizare.</w:t>
      </w:r>
    </w:p>
    <w:p w:rsidR="00AB7E6D" w:rsidRPr="00AB7E6D" w:rsidRDefault="00AB7E6D" w:rsidP="00455518">
      <w:pPr>
        <w:numPr>
          <w:ilvl w:val="1"/>
          <w:numId w:val="6"/>
        </w:numPr>
        <w:spacing w:before="120" w:after="0" w:line="264" w:lineRule="auto"/>
        <w:ind w:left="1701"/>
        <w:rPr>
          <w:lang w:val="ro-RO"/>
        </w:rPr>
      </w:pPr>
      <w:r w:rsidRPr="00AB7E6D">
        <w:rPr>
          <w:lang w:val="ro-RO"/>
        </w:rPr>
        <w:t>Având în vedere că reprezentan</w:t>
      </w:r>
      <w:r w:rsidRPr="00AB7E6D">
        <w:rPr>
          <w:rFonts w:hAnsi="Calibri"/>
          <w:lang w:val="ro-RO"/>
        </w:rPr>
        <w:t>ț</w:t>
      </w:r>
      <w:r w:rsidRPr="00AB7E6D">
        <w:rPr>
          <w:lang w:val="ro-RO"/>
        </w:rPr>
        <w:t>ii COM au schimbat codul de conformare al operatorului, considerându-l conform (cod A), nu s-au demarat procedurile de penalizare.</w:t>
      </w:r>
    </w:p>
    <w:p w:rsidR="00AB7E6D" w:rsidRPr="00AB7E6D" w:rsidRDefault="00AB7E6D" w:rsidP="00455518">
      <w:pPr>
        <w:spacing w:before="120" w:line="264" w:lineRule="auto"/>
        <w:ind w:firstLine="720"/>
        <w:rPr>
          <w:lang w:val="ro-RO"/>
        </w:rPr>
      </w:pPr>
    </w:p>
    <w:p w:rsidR="00AB7E6D" w:rsidRPr="00AB7E6D" w:rsidRDefault="00AB7E6D" w:rsidP="00455518">
      <w:pPr>
        <w:pStyle w:val="ListParagraph"/>
        <w:numPr>
          <w:ilvl w:val="0"/>
          <w:numId w:val="6"/>
        </w:numPr>
        <w:spacing w:after="120" w:line="276" w:lineRule="auto"/>
        <w:ind w:left="1701"/>
        <w:jc w:val="both"/>
        <w:rPr>
          <w:rFonts w:ascii="Trebuchet MS" w:eastAsia="MS Mincho" w:hAnsi="Trebuchet MS"/>
        </w:rPr>
      </w:pPr>
      <w:r w:rsidRPr="00AB7E6D">
        <w:rPr>
          <w:rFonts w:ascii="Trebuchet MS" w:eastAsia="MS Mincho" w:hAnsi="Trebuchet MS"/>
          <w:b/>
        </w:rPr>
        <w:t xml:space="preserve">Operatorul S.C. CET Arad S.A. pentru instalaţia SC CET Hidrocarburi SA Arad, </w:t>
      </w:r>
      <w:r w:rsidRPr="00AB7E6D">
        <w:rPr>
          <w:rFonts w:ascii="Trebuchet MS" w:eastAsia="MS Mincho" w:hAnsi="Trebuchet MS"/>
        </w:rPr>
        <w:t xml:space="preserve">a restituit certificatele aferente anului 2009 în termenul legal de 30 aprilie 2010, dar </w:t>
      </w:r>
      <w:r w:rsidRPr="00AB7E6D">
        <w:rPr>
          <w:rFonts w:ascii="Trebuchet MS" w:eastAsia="MS Mincho" w:hAnsi="Trebuchet MS"/>
          <w:b/>
          <w:i/>
        </w:rPr>
        <w:t xml:space="preserve">nu a respectat prima etapă de conformare </w:t>
      </w:r>
      <w:r w:rsidRPr="00AB7E6D">
        <w:rPr>
          <w:rFonts w:ascii="Trebuchet MS" w:eastAsia="MS Mincho"/>
          <w:b/>
          <w:i/>
        </w:rPr>
        <w:t>ș</w:t>
      </w:r>
      <w:r w:rsidRPr="00AB7E6D">
        <w:rPr>
          <w:rFonts w:ascii="Trebuchet MS" w:eastAsia="MS Mincho" w:hAnsi="Trebuchet MS"/>
          <w:b/>
          <w:i/>
        </w:rPr>
        <w:t>i anume introducerea în soft-ul din Registrul Unic a cifrei emisiilor verificate</w:t>
      </w:r>
      <w:r w:rsidRPr="00AB7E6D">
        <w:rPr>
          <w:rFonts w:ascii="Trebuchet MS" w:eastAsia="MS Mincho" w:hAnsi="Trebuchet MS"/>
        </w:rPr>
        <w:t xml:space="preserve"> pentru anul anterior (termen 31 martie 2010), ceea ce a determinat încadrarea instala</w:t>
      </w:r>
      <w:r w:rsidRPr="00AB7E6D">
        <w:rPr>
          <w:rFonts w:ascii="Trebuchet MS" w:eastAsia="MS Mincho"/>
        </w:rPr>
        <w:t>ț</w:t>
      </w:r>
      <w:r w:rsidRPr="00AB7E6D">
        <w:rPr>
          <w:rFonts w:ascii="Trebuchet MS" w:eastAsia="MS Mincho" w:hAnsi="Trebuchet MS"/>
        </w:rPr>
        <w:t xml:space="preserve">iei la </w:t>
      </w:r>
      <w:r w:rsidRPr="00AB7E6D">
        <w:rPr>
          <w:rFonts w:ascii="Trebuchet MS" w:eastAsia="MS Mincho" w:hAnsi="Trebuchet MS"/>
          <w:b/>
          <w:i/>
        </w:rPr>
        <w:t xml:space="preserve">codul “C”. </w:t>
      </w:r>
      <w:r w:rsidRPr="00AB7E6D">
        <w:rPr>
          <w:rFonts w:ascii="Trebuchet MS" w:eastAsia="MS Mincho" w:hAnsi="Trebuchet MS"/>
        </w:rPr>
        <w:t>Codul C nu înseamnă neconform.</w:t>
      </w:r>
      <w:r w:rsidRPr="00AB7E6D">
        <w:rPr>
          <w:rFonts w:ascii="Trebuchet MS" w:eastAsia="MS Mincho" w:hAnsi="Trebuchet MS"/>
          <w:b/>
          <w:i/>
        </w:rPr>
        <w:t xml:space="preserve"> </w:t>
      </w:r>
      <w:r w:rsidRPr="00AB7E6D">
        <w:rPr>
          <w:rFonts w:ascii="Trebuchet MS" w:eastAsia="MS Mincho" w:hAnsi="Trebuchet MS"/>
        </w:rPr>
        <w:t xml:space="preserve">Neconformitatea operatorilor sub Schema ETS se referă la </w:t>
      </w:r>
      <w:r w:rsidRPr="00AB7E6D">
        <w:rPr>
          <w:rFonts w:ascii="Trebuchet MS" w:eastAsia="MS Mincho" w:hAnsi="Trebuchet MS"/>
          <w:b/>
          <w:i/>
        </w:rPr>
        <w:t>încălcarea obligaţiei de restituire a certificatelor până la 30 aprilie a fiecărui an</w:t>
      </w:r>
      <w:r w:rsidRPr="00AB7E6D">
        <w:rPr>
          <w:rFonts w:ascii="Trebuchet MS" w:eastAsia="MS Mincho" w:hAnsi="Trebuchet MS"/>
          <w:i/>
        </w:rPr>
        <w:t>,</w:t>
      </w:r>
      <w:r w:rsidRPr="00AB7E6D">
        <w:rPr>
          <w:rFonts w:ascii="Trebuchet MS" w:eastAsia="MS Mincho" w:hAnsi="Trebuchet MS"/>
        </w:rPr>
        <w:t xml:space="preserve"> şi nu la neintroducerea emisiilor verificate în soft până la 31 martie.</w:t>
      </w:r>
    </w:p>
    <w:p w:rsidR="00AB7E6D" w:rsidRPr="00AB7E6D" w:rsidRDefault="00AB7E6D" w:rsidP="00455518">
      <w:pPr>
        <w:pStyle w:val="ListParagraph"/>
        <w:numPr>
          <w:ilvl w:val="0"/>
          <w:numId w:val="6"/>
        </w:numPr>
        <w:spacing w:after="120" w:line="276" w:lineRule="auto"/>
        <w:ind w:left="1701"/>
        <w:jc w:val="both"/>
        <w:rPr>
          <w:rFonts w:ascii="Trebuchet MS" w:eastAsia="MS Mincho" w:hAnsi="Trebuchet MS"/>
        </w:rPr>
      </w:pPr>
      <w:r w:rsidRPr="00AB7E6D">
        <w:rPr>
          <w:rFonts w:ascii="Trebuchet MS" w:eastAsia="MS Mincho"/>
        </w:rPr>
        <w:t>Ț</w:t>
      </w:r>
      <w:r w:rsidRPr="00AB7E6D">
        <w:rPr>
          <w:rFonts w:ascii="Trebuchet MS" w:eastAsia="MS Mincho" w:hAnsi="Trebuchet MS"/>
        </w:rPr>
        <w:t>inând cont că</w:t>
      </w:r>
      <w:r w:rsidRPr="00AB7E6D">
        <w:rPr>
          <w:rFonts w:ascii="Trebuchet MS" w:eastAsia="MS Mincho" w:hAnsi="Trebuchet MS"/>
          <w:b/>
        </w:rPr>
        <w:t xml:space="preserve"> </w:t>
      </w:r>
      <w:r w:rsidRPr="00AB7E6D">
        <w:rPr>
          <w:rFonts w:ascii="Trebuchet MS" w:eastAsia="MS Mincho" w:hAnsi="Trebuchet MS"/>
        </w:rPr>
        <w:t xml:space="preserve">operatorul </w:t>
      </w:r>
      <w:r w:rsidRPr="00AB7E6D">
        <w:rPr>
          <w:rFonts w:ascii="Trebuchet MS" w:eastAsia="MS Mincho" w:hAnsi="Trebuchet MS"/>
          <w:b/>
          <w:i/>
        </w:rPr>
        <w:t>a restituit însă până în data de 30 aprilie toate certificatele aferente emisiilor</w:t>
      </w:r>
      <w:r w:rsidRPr="00AB7E6D">
        <w:rPr>
          <w:rFonts w:ascii="Trebuchet MS" w:eastAsia="MS Mincho" w:hAnsi="Trebuchet MS"/>
        </w:rPr>
        <w:t xml:space="preserve"> reale din anul anterior, </w:t>
      </w:r>
      <w:r w:rsidRPr="00AB7E6D">
        <w:rPr>
          <w:rFonts w:ascii="Trebuchet MS" w:eastAsia="MS Mincho" w:hAnsi="Trebuchet MS"/>
          <w:b/>
          <w:i/>
        </w:rPr>
        <w:t>în soft operatorul figurează ca fiind conform (cod A).</w:t>
      </w:r>
      <w:r w:rsidRPr="00AB7E6D">
        <w:rPr>
          <w:rFonts w:ascii="Trebuchet MS" w:eastAsia="MS Mincho" w:hAnsi="Trebuchet MS"/>
        </w:rPr>
        <w:t xml:space="preserve"> </w:t>
      </w:r>
    </w:p>
    <w:p w:rsidR="00AB7E6D" w:rsidRPr="00AB7E6D" w:rsidRDefault="00AB7E6D" w:rsidP="00455518">
      <w:pPr>
        <w:pStyle w:val="ListParagraph"/>
        <w:spacing w:after="120" w:line="276" w:lineRule="auto"/>
        <w:ind w:left="1701"/>
        <w:jc w:val="both"/>
        <w:rPr>
          <w:rFonts w:ascii="Trebuchet MS" w:hAnsi="Trebuchet MS"/>
        </w:rPr>
      </w:pPr>
    </w:p>
    <w:p w:rsidR="00AB7E6D" w:rsidRPr="00AB7E6D" w:rsidRDefault="00AB7E6D" w:rsidP="00455518">
      <w:pPr>
        <w:pStyle w:val="ListParagraph"/>
        <w:numPr>
          <w:ilvl w:val="0"/>
          <w:numId w:val="6"/>
        </w:numPr>
        <w:spacing w:after="120" w:line="276" w:lineRule="auto"/>
        <w:ind w:left="1701"/>
        <w:jc w:val="both"/>
        <w:rPr>
          <w:rFonts w:ascii="Trebuchet MS" w:eastAsia="MS Mincho" w:hAnsi="Trebuchet MS"/>
          <w:b/>
          <w:i/>
        </w:rPr>
      </w:pPr>
      <w:r w:rsidRPr="00AB7E6D">
        <w:rPr>
          <w:rFonts w:ascii="Trebuchet MS" w:eastAsia="MS Mincho" w:hAnsi="Trebuchet MS"/>
          <w:b/>
        </w:rPr>
        <w:t xml:space="preserve">Operatorul </w:t>
      </w:r>
      <w:r w:rsidRPr="00AB7E6D">
        <w:rPr>
          <w:rFonts w:ascii="Trebuchet MS" w:eastAsia="MS Mincho" w:hAnsi="Trebuchet MS"/>
          <w:b/>
          <w:i/>
        </w:rPr>
        <w:t>SC AEROSTAR SA</w:t>
      </w:r>
      <w:r w:rsidRPr="00AB7E6D">
        <w:rPr>
          <w:rFonts w:ascii="Trebuchet MS" w:eastAsia="MS Mincho" w:hAnsi="Trebuchet MS"/>
          <w:b/>
        </w:rPr>
        <w:t xml:space="preserve"> </w:t>
      </w:r>
      <w:r w:rsidRPr="00AB7E6D">
        <w:rPr>
          <w:rFonts w:ascii="Trebuchet MS" w:eastAsia="MS Mincho" w:hAnsi="Trebuchet MS"/>
        </w:rPr>
        <w:t xml:space="preserve">a restituit certificatele aferente anului 2008 în data </w:t>
      </w:r>
      <w:r w:rsidRPr="00AB7E6D">
        <w:rPr>
          <w:rFonts w:ascii="Trebuchet MS" w:eastAsia="MS Mincho" w:hAnsi="Trebuchet MS"/>
          <w:i/>
        </w:rPr>
        <w:t>de 28.05.2009</w:t>
      </w:r>
      <w:r w:rsidRPr="00AB7E6D">
        <w:rPr>
          <w:rFonts w:ascii="Trebuchet MS" w:eastAsia="MS Mincho" w:hAnsi="Trebuchet MS"/>
        </w:rPr>
        <w:t xml:space="preserve">, din acest motiv el a figurat pentru anul 2008 </w:t>
      </w:r>
      <w:r w:rsidRPr="00AB7E6D">
        <w:rPr>
          <w:rFonts w:ascii="Trebuchet MS" w:eastAsia="MS Mincho" w:hAnsi="Trebuchet MS"/>
          <w:b/>
          <w:i/>
        </w:rPr>
        <w:t xml:space="preserve">ca fiind neconform (codul B). </w:t>
      </w:r>
    </w:p>
    <w:p w:rsidR="00AB7E6D" w:rsidRPr="00AB7E6D" w:rsidRDefault="00AB7E6D" w:rsidP="00455518">
      <w:pPr>
        <w:pStyle w:val="ListParagraph"/>
        <w:numPr>
          <w:ilvl w:val="0"/>
          <w:numId w:val="6"/>
        </w:numPr>
        <w:spacing w:after="120" w:line="276" w:lineRule="auto"/>
        <w:ind w:left="1701"/>
        <w:jc w:val="both"/>
        <w:rPr>
          <w:rFonts w:ascii="Trebuchet MS" w:eastAsia="MS Mincho" w:hAnsi="Trebuchet MS"/>
        </w:rPr>
      </w:pPr>
      <w:r w:rsidRPr="00AB7E6D">
        <w:rPr>
          <w:rFonts w:ascii="Trebuchet MS" w:eastAsia="MS Mincho" w:hAnsi="Trebuchet MS"/>
        </w:rPr>
        <w:t xml:space="preserve">Prin transpunerea  Directivei ETS s-a stabilit că </w:t>
      </w:r>
      <w:r w:rsidRPr="00AB7E6D">
        <w:rPr>
          <w:rFonts w:ascii="Trebuchet MS" w:eastAsia="MS Mincho" w:hAnsi="Trebuchet MS"/>
          <w:b/>
          <w:i/>
        </w:rPr>
        <w:t>Garda Naţională de Mediu este autoritatea responsabilă cu constatarea contravenţiilor</w:t>
      </w:r>
      <w:r w:rsidRPr="00AB7E6D">
        <w:rPr>
          <w:rFonts w:ascii="Trebuchet MS" w:eastAsia="MS Mincho" w:hAnsi="Trebuchet MS"/>
        </w:rPr>
        <w:t xml:space="preserve">, deoarece aceasta era singura autoritate abilitată să poată realiza constatarea contravenţiilor </w:t>
      </w:r>
      <w:r w:rsidRPr="00AB7E6D">
        <w:rPr>
          <w:rFonts w:ascii="Trebuchet MS" w:eastAsia="MS Mincho"/>
        </w:rPr>
        <w:t>ș</w:t>
      </w:r>
      <w:r w:rsidRPr="00AB7E6D">
        <w:rPr>
          <w:rFonts w:ascii="Trebuchet MS" w:eastAsia="MS Mincho" w:hAnsi="Trebuchet MS"/>
        </w:rPr>
        <w:t>i aplicarea sancţiunilor potrivit legislaţiei din domeniul protecţiei mediului (OUG 195/2005 cu modificări şi completări).</w:t>
      </w:r>
    </w:p>
    <w:p w:rsidR="00AB7E6D" w:rsidRPr="00AB7E6D" w:rsidRDefault="00AB7E6D" w:rsidP="00455518">
      <w:pPr>
        <w:pStyle w:val="ListParagraph"/>
        <w:numPr>
          <w:ilvl w:val="0"/>
          <w:numId w:val="6"/>
        </w:numPr>
        <w:spacing w:after="120" w:line="276" w:lineRule="auto"/>
        <w:ind w:left="1701"/>
        <w:jc w:val="both"/>
        <w:rPr>
          <w:rFonts w:ascii="Trebuchet MS" w:eastAsia="MS Mincho" w:hAnsi="Trebuchet MS"/>
          <w:b/>
        </w:rPr>
      </w:pPr>
      <w:r w:rsidRPr="00AB7E6D">
        <w:rPr>
          <w:rFonts w:ascii="Trebuchet MS" w:eastAsia="MS Mincho" w:hAnsi="Trebuchet MS"/>
          <w:b/>
          <w:i/>
        </w:rPr>
        <w:t>Operatorului nu i-a fost aplicată amenda</w:t>
      </w:r>
      <w:r w:rsidRPr="00AB7E6D">
        <w:rPr>
          <w:rFonts w:ascii="Trebuchet MS" w:eastAsia="MS Mincho" w:hAnsi="Trebuchet MS"/>
        </w:rPr>
        <w:t xml:space="preserve"> pentru nerestituirea certificatelor aferente anului 2008 deoarece practic în comparaţie cu OUG 195/2005, </w:t>
      </w:r>
      <w:r w:rsidRPr="00AB7E6D">
        <w:rPr>
          <w:rFonts w:ascii="Trebuchet MS" w:eastAsia="MS Mincho" w:hAnsi="Trebuchet MS"/>
          <w:b/>
          <w:i/>
        </w:rPr>
        <w:t xml:space="preserve">constatarea obligaţiei de restituire a certificatelor putea fi realizată doar de Administratorul Registrului, potrivit legislaţiei europene din domeniul funcţionării Registrului sub schema ETS </w:t>
      </w:r>
      <w:r w:rsidRPr="00AB7E6D">
        <w:rPr>
          <w:rFonts w:ascii="Trebuchet MS" w:eastAsia="MS Mincho"/>
          <w:b/>
          <w:i/>
        </w:rPr>
        <w:t>ș</w:t>
      </w:r>
      <w:r w:rsidRPr="00AB7E6D">
        <w:rPr>
          <w:rFonts w:ascii="Trebuchet MS" w:eastAsia="MS Mincho" w:hAnsi="Trebuchet MS"/>
          <w:b/>
          <w:i/>
        </w:rPr>
        <w:t xml:space="preserve">i nu de către GNM, conform OUG 195/2005. </w:t>
      </w:r>
      <w:r w:rsidRPr="00AB7E6D">
        <w:rPr>
          <w:rFonts w:ascii="Trebuchet MS" w:eastAsia="MS Mincho" w:hAnsi="Trebuchet MS"/>
          <w:b/>
        </w:rPr>
        <w:t xml:space="preserve">Din aceste considerente, a fost necesară modificarae HG nr. 780/2006 în sensul îmbunătăţirii prevederilor referitoare la constatarea neconformării şi aplicării penalităţii de 100 Euro. </w:t>
      </w:r>
    </w:p>
    <w:p w:rsidR="00AB7E6D" w:rsidRPr="00AB7E6D" w:rsidRDefault="00AB7E6D" w:rsidP="00455518">
      <w:pPr>
        <w:pStyle w:val="ListParagraph"/>
        <w:spacing w:after="120" w:line="276" w:lineRule="auto"/>
        <w:ind w:left="1701"/>
        <w:jc w:val="both"/>
        <w:rPr>
          <w:rFonts w:ascii="Trebuchet MS" w:eastAsia="MS Mincho" w:hAnsi="Trebuchet MS"/>
          <w:b/>
          <w:i/>
        </w:rPr>
      </w:pPr>
    </w:p>
    <w:p w:rsidR="00AB7E6D" w:rsidRPr="00AB7E6D" w:rsidRDefault="00AB7E6D" w:rsidP="00455518">
      <w:pPr>
        <w:pStyle w:val="ListParagraph"/>
        <w:numPr>
          <w:ilvl w:val="0"/>
          <w:numId w:val="6"/>
        </w:numPr>
        <w:spacing w:after="120" w:line="276" w:lineRule="auto"/>
        <w:ind w:left="1701"/>
        <w:jc w:val="both"/>
        <w:rPr>
          <w:rFonts w:ascii="Trebuchet MS" w:eastAsia="MS Mincho" w:hAnsi="Trebuchet MS"/>
          <w:b/>
        </w:rPr>
      </w:pPr>
      <w:r w:rsidRPr="00AB7E6D">
        <w:rPr>
          <w:rFonts w:ascii="Trebuchet MS" w:eastAsia="MS Mincho" w:hAnsi="Trebuchet MS"/>
          <w:b/>
        </w:rPr>
        <w:t xml:space="preserve">Operatorul SC Global Energy Production prin Termoelectrica Giurgiu nu a restituit </w:t>
      </w:r>
      <w:r w:rsidRPr="00AB7E6D">
        <w:rPr>
          <w:rFonts w:ascii="Trebuchet MS" w:eastAsia="MS Mincho" w:hAnsi="Trebuchet MS"/>
        </w:rPr>
        <w:t xml:space="preserve">certificatele GES aferente anului 2012 în </w:t>
      </w:r>
      <w:r w:rsidRPr="00AB7E6D">
        <w:rPr>
          <w:rFonts w:ascii="Trebuchet MS" w:hAnsi="Trebuchet MS"/>
          <w:bCs/>
          <w:lang w:eastAsia="ro-RO"/>
        </w:rPr>
        <w:t xml:space="preserve">contul din Registrul Unic Consolidat. </w:t>
      </w:r>
      <w:r w:rsidRPr="00AB7E6D">
        <w:rPr>
          <w:rFonts w:ascii="Trebuchet MS" w:eastAsia="MS Mincho" w:hAnsi="Trebuchet MS"/>
        </w:rPr>
        <w:t xml:space="preserve">Prin urmare operatorul este identificat ca </w:t>
      </w:r>
      <w:r w:rsidRPr="00AB7E6D">
        <w:rPr>
          <w:rFonts w:ascii="Trebuchet MS" w:eastAsia="MS Mincho"/>
        </w:rPr>
        <w:t>ș</w:t>
      </w:r>
      <w:r w:rsidRPr="00AB7E6D">
        <w:rPr>
          <w:rFonts w:ascii="Trebuchet MS" w:eastAsia="MS Mincho" w:hAnsi="Trebuchet MS"/>
        </w:rPr>
        <w:t xml:space="preserve">i </w:t>
      </w:r>
      <w:r w:rsidRPr="00AB7E6D">
        <w:rPr>
          <w:rFonts w:ascii="Trebuchet MS" w:eastAsia="MS Mincho" w:hAnsi="Trebuchet MS"/>
          <w:b/>
        </w:rPr>
        <w:t>neconform (cod B)</w:t>
      </w:r>
      <w:r w:rsidRPr="00AB7E6D">
        <w:rPr>
          <w:rFonts w:ascii="Trebuchet MS" w:eastAsia="MS Mincho" w:hAnsi="Trebuchet MS"/>
        </w:rPr>
        <w:t xml:space="preserve"> pentru această tranzac</w:t>
      </w:r>
      <w:r w:rsidRPr="00AB7E6D">
        <w:rPr>
          <w:rFonts w:ascii="Trebuchet MS" w:eastAsia="MS Mincho"/>
        </w:rPr>
        <w:t>ț</w:t>
      </w:r>
      <w:r w:rsidRPr="00AB7E6D">
        <w:rPr>
          <w:rFonts w:ascii="Trebuchet MS" w:eastAsia="MS Mincho" w:hAnsi="Trebuchet MS"/>
        </w:rPr>
        <w:t xml:space="preserve">ie </w:t>
      </w:r>
      <w:r w:rsidRPr="00AB7E6D">
        <w:rPr>
          <w:rFonts w:ascii="Trebuchet MS" w:eastAsia="MS Mincho" w:hAnsi="Trebuchet MS"/>
          <w:b/>
        </w:rPr>
        <w:t xml:space="preserve">şi se aplică penalitatea de 100 Euro. </w:t>
      </w:r>
    </w:p>
    <w:p w:rsidR="00AB7E6D" w:rsidRPr="00AB7E6D" w:rsidRDefault="00AB7E6D" w:rsidP="00455518">
      <w:pPr>
        <w:pStyle w:val="ListParagraph"/>
        <w:spacing w:after="120" w:line="276" w:lineRule="auto"/>
        <w:ind w:left="1701"/>
        <w:jc w:val="both"/>
        <w:rPr>
          <w:rFonts w:ascii="Trebuchet MS" w:eastAsia="MS Mincho" w:hAnsi="Trebuchet MS"/>
          <w:b/>
          <w:i/>
        </w:rPr>
      </w:pPr>
    </w:p>
    <w:p w:rsidR="00AB7E6D" w:rsidRPr="00AB7E6D" w:rsidRDefault="00AB7E6D" w:rsidP="00455518">
      <w:pPr>
        <w:numPr>
          <w:ilvl w:val="0"/>
          <w:numId w:val="4"/>
        </w:numPr>
        <w:spacing w:before="120" w:after="0" w:line="264" w:lineRule="auto"/>
        <w:ind w:left="1701" w:hanging="426"/>
        <w:rPr>
          <w:b/>
          <w:lang w:val="ro-RO"/>
        </w:rPr>
      </w:pPr>
      <w:r w:rsidRPr="00AB7E6D">
        <w:rPr>
          <w:b/>
          <w:lang w:val="ro-RO"/>
        </w:rPr>
        <w:t>Căile, procedurile sau demersurile legale ce se pot întreprinde pentru lămurirea situa</w:t>
      </w:r>
      <w:r w:rsidRPr="00AB7E6D">
        <w:rPr>
          <w:rFonts w:hAnsi="Calibri"/>
          <w:b/>
          <w:lang w:val="ro-RO"/>
        </w:rPr>
        <w:t>ț</w:t>
      </w:r>
      <w:r w:rsidRPr="00AB7E6D">
        <w:rPr>
          <w:b/>
          <w:lang w:val="ro-RO"/>
        </w:rPr>
        <w:t>iei SC Electrocentrale Oradea SA.</w:t>
      </w:r>
    </w:p>
    <w:p w:rsidR="00AB7E6D" w:rsidRPr="00AB7E6D" w:rsidRDefault="00AB7E6D" w:rsidP="00455518">
      <w:pPr>
        <w:rPr>
          <w:lang w:val="ro-RO"/>
        </w:rPr>
      </w:pPr>
    </w:p>
    <w:p w:rsidR="00AB7E6D" w:rsidRPr="00AB7E6D" w:rsidRDefault="00AB7E6D" w:rsidP="00455518">
      <w:pPr>
        <w:rPr>
          <w:lang w:val="ro-RO"/>
        </w:rPr>
      </w:pPr>
      <w:r w:rsidRPr="00AB7E6D">
        <w:rPr>
          <w:lang w:val="ro-RO"/>
        </w:rPr>
        <w:t xml:space="preserve">Referitor la aplicarea penalităţii de </w:t>
      </w:r>
      <w:r w:rsidRPr="00AB7E6D">
        <w:rPr>
          <w:b/>
          <w:lang w:val="ro-RO"/>
        </w:rPr>
        <w:t>100 de euro</w:t>
      </w:r>
      <w:r w:rsidRPr="00AB7E6D">
        <w:rPr>
          <w:lang w:val="ro-RO"/>
        </w:rPr>
        <w:t xml:space="preserve"> pentru operatorii care nu restituie certificatele de emisii până cel târziu la data de 30 aprilie, precizăm că prin </w:t>
      </w:r>
      <w:r w:rsidRPr="00AB7E6D">
        <w:rPr>
          <w:b/>
          <w:lang w:val="ro-RO"/>
        </w:rPr>
        <w:t>Decizia din luna octombrie 2013, Curtea Europeană de Justiţie</w:t>
      </w:r>
      <w:r w:rsidRPr="00AB7E6D">
        <w:rPr>
          <w:lang w:val="ro-RO"/>
        </w:rPr>
        <w:t xml:space="preserve"> </w:t>
      </w:r>
      <w:r w:rsidRPr="00AB7E6D">
        <w:rPr>
          <w:b/>
          <w:lang w:val="ro-RO"/>
        </w:rPr>
        <w:t>a stabilit că</w:t>
      </w:r>
      <w:r w:rsidRPr="00AB7E6D">
        <w:rPr>
          <w:lang w:val="ro-RO"/>
        </w:rPr>
        <w:t xml:space="preserve"> art. 16 din </w:t>
      </w:r>
      <w:r w:rsidRPr="00AB7E6D">
        <w:rPr>
          <w:i/>
          <w:lang w:val="ro-RO"/>
        </w:rPr>
        <w:t xml:space="preserve">Directiva 2003/87/CE privind stabilirea unui sistem de comercializare a cotelor de emisie de gaze cu efect de seră în cadrul Comunităţii </w:t>
      </w:r>
      <w:r w:rsidRPr="00AB7E6D">
        <w:rPr>
          <w:b/>
          <w:lang w:val="ro-RO"/>
        </w:rPr>
        <w:t>trebuie interpretat astfel: operatorii care nu au restituit până la data de 30 aprilie a anului în curs certificatele GES aferente emisiilor din anul precedent, nu sunt exonera</w:t>
      </w:r>
      <w:r w:rsidRPr="00AB7E6D">
        <w:rPr>
          <w:rFonts w:hAnsi="Calibri"/>
          <w:b/>
          <w:lang w:val="ro-RO"/>
        </w:rPr>
        <w:t>ț</w:t>
      </w:r>
      <w:r w:rsidRPr="00AB7E6D">
        <w:rPr>
          <w:b/>
          <w:lang w:val="ro-RO"/>
        </w:rPr>
        <w:t xml:space="preserve">i de la plata penalităţii de 100 de euro, </w:t>
      </w:r>
      <w:r w:rsidRPr="00AB7E6D">
        <w:rPr>
          <w:lang w:val="ro-RO"/>
        </w:rPr>
        <w:t xml:space="preserve"> </w:t>
      </w:r>
      <w:r w:rsidRPr="00AB7E6D">
        <w:rPr>
          <w:b/>
          <w:u w:val="single"/>
          <w:lang w:val="ro-RO"/>
        </w:rPr>
        <w:t>chiar dacă certificatele  au fost restituite după această dată.</w:t>
      </w:r>
    </w:p>
    <w:p w:rsidR="00AB7E6D" w:rsidRPr="00AB7E6D" w:rsidRDefault="00AB7E6D" w:rsidP="00455518">
      <w:pPr>
        <w:pStyle w:val="ListParagraph"/>
        <w:spacing w:after="120" w:line="276" w:lineRule="auto"/>
        <w:ind w:left="1701"/>
        <w:jc w:val="both"/>
        <w:rPr>
          <w:rFonts w:ascii="Trebuchet MS" w:hAnsi="Trebuchet MS"/>
        </w:rPr>
      </w:pPr>
    </w:p>
    <w:p w:rsidR="00AB7E6D" w:rsidRPr="00AB7E6D" w:rsidRDefault="00AB7E6D" w:rsidP="00455518">
      <w:pPr>
        <w:pStyle w:val="ListParagraph"/>
        <w:spacing w:after="120" w:line="276" w:lineRule="auto"/>
        <w:ind w:left="1701" w:firstLine="720"/>
        <w:jc w:val="both"/>
        <w:rPr>
          <w:rFonts w:ascii="Trebuchet MS" w:eastAsia="MS Mincho" w:hAnsi="Trebuchet MS"/>
        </w:rPr>
      </w:pPr>
      <w:r w:rsidRPr="00AB7E6D">
        <w:rPr>
          <w:rFonts w:ascii="Trebuchet MS" w:eastAsia="MS Mincho" w:hAnsi="Trebuchet MS"/>
        </w:rPr>
        <w:t>În consecin</w:t>
      </w:r>
      <w:r w:rsidRPr="00AB7E6D">
        <w:rPr>
          <w:rFonts w:ascii="Trebuchet MS" w:eastAsia="MS Mincho"/>
        </w:rPr>
        <w:t>ț</w:t>
      </w:r>
      <w:r w:rsidRPr="00AB7E6D">
        <w:rPr>
          <w:rFonts w:ascii="Trebuchet MS" w:eastAsia="MS Mincho" w:hAnsi="Trebuchet MS"/>
        </w:rPr>
        <w:t>ă, autoritatea centrală pentru protec</w:t>
      </w:r>
      <w:r w:rsidRPr="00AB7E6D">
        <w:rPr>
          <w:rFonts w:ascii="Trebuchet MS" w:eastAsia="MS Mincho"/>
        </w:rPr>
        <w:t>ț</w:t>
      </w:r>
      <w:r w:rsidRPr="00AB7E6D">
        <w:rPr>
          <w:rFonts w:ascii="Trebuchet MS" w:eastAsia="MS Mincho" w:hAnsi="Trebuchet MS"/>
        </w:rPr>
        <w:t>ia mediului a întreprins toate demersurile</w:t>
      </w:r>
      <w:r w:rsidR="003A5702">
        <w:rPr>
          <w:rFonts w:ascii="Trebuchet MS" w:eastAsia="MS Mincho" w:hAnsi="Trebuchet MS"/>
        </w:rPr>
        <w:t xml:space="preserve"> legale pentru asigurarea confor</w:t>
      </w:r>
      <w:r w:rsidRPr="00AB7E6D">
        <w:rPr>
          <w:rFonts w:ascii="Trebuchet MS" w:eastAsia="MS Mincho" w:hAnsi="Trebuchet MS"/>
        </w:rPr>
        <w:t>mării operatorului economic în cazul men</w:t>
      </w:r>
      <w:r w:rsidRPr="00AB7E6D">
        <w:rPr>
          <w:rFonts w:ascii="Trebuchet MS" w:eastAsia="MS Mincho"/>
        </w:rPr>
        <w:t>ț</w:t>
      </w:r>
      <w:r w:rsidRPr="00AB7E6D">
        <w:rPr>
          <w:rFonts w:ascii="Trebuchet MS" w:eastAsia="MS Mincho" w:hAnsi="Trebuchet MS"/>
        </w:rPr>
        <w:t xml:space="preserve">ionat. În plus, MMSC a informat la timp </w:t>
      </w:r>
      <w:r w:rsidRPr="00AB7E6D">
        <w:rPr>
          <w:rFonts w:ascii="Trebuchet MS" w:eastAsia="MS Mincho"/>
        </w:rPr>
        <w:t>ș</w:t>
      </w:r>
      <w:r w:rsidRPr="00AB7E6D">
        <w:rPr>
          <w:rFonts w:ascii="Trebuchet MS" w:eastAsia="MS Mincho" w:hAnsi="Trebuchet MS"/>
        </w:rPr>
        <w:t>i a oferit întregul suport pentru operator. Însă încălcarea obliga</w:t>
      </w:r>
      <w:r w:rsidRPr="00AB7E6D">
        <w:rPr>
          <w:rFonts w:ascii="Trebuchet MS" w:eastAsia="MS Mincho"/>
        </w:rPr>
        <w:t>ț</w:t>
      </w:r>
      <w:r w:rsidRPr="00AB7E6D">
        <w:rPr>
          <w:rFonts w:ascii="Trebuchet MS" w:eastAsia="MS Mincho" w:hAnsi="Trebuchet MS"/>
        </w:rPr>
        <w:t>iilor de conformare obligă MMSC, ca autoritate de specialitate, să aplice legisla</w:t>
      </w:r>
      <w:r w:rsidRPr="00AB7E6D">
        <w:rPr>
          <w:rFonts w:ascii="Trebuchet MS" w:eastAsia="MS Mincho"/>
        </w:rPr>
        <w:t>ț</w:t>
      </w:r>
      <w:r w:rsidRPr="00AB7E6D">
        <w:rPr>
          <w:rFonts w:ascii="Trebuchet MS" w:eastAsia="MS Mincho" w:hAnsi="Trebuchet MS"/>
        </w:rPr>
        <w:t xml:space="preserve">ia în vigoare, cu atât mai mult cu cât toate aceste cazuri de neconformitate se află </w:t>
      </w:r>
      <w:r w:rsidRPr="00AB7E6D">
        <w:rPr>
          <w:rFonts w:ascii="Trebuchet MS" w:eastAsia="MS Mincho"/>
        </w:rPr>
        <w:t>ș</w:t>
      </w:r>
      <w:r w:rsidRPr="00AB7E6D">
        <w:rPr>
          <w:rFonts w:ascii="Trebuchet MS" w:eastAsia="MS Mincho" w:hAnsi="Trebuchet MS"/>
        </w:rPr>
        <w:t>i sub monitorizarea directă a Comisiei Europene, iar nerespectarea procedurilor din partea MMSC poate atrage consecin</w:t>
      </w:r>
      <w:r w:rsidRPr="00AB7E6D">
        <w:rPr>
          <w:rFonts w:ascii="Trebuchet MS" w:eastAsia="MS Mincho"/>
        </w:rPr>
        <w:t>ț</w:t>
      </w:r>
      <w:r w:rsidRPr="00AB7E6D">
        <w:rPr>
          <w:rFonts w:ascii="Trebuchet MS" w:eastAsia="MS Mincho" w:hAnsi="Trebuchet MS"/>
        </w:rPr>
        <w:t>e de ansamblu asupra respectării cerin</w:t>
      </w:r>
      <w:r w:rsidRPr="00AB7E6D">
        <w:rPr>
          <w:rFonts w:ascii="Trebuchet MS" w:eastAsia="MS Mincho"/>
        </w:rPr>
        <w:t>ț</w:t>
      </w:r>
      <w:r w:rsidRPr="00AB7E6D">
        <w:rPr>
          <w:rFonts w:ascii="Trebuchet MS" w:eastAsia="MS Mincho" w:hAnsi="Trebuchet MS"/>
        </w:rPr>
        <w:t>elor europene în vigoare în domeniul comercializării emisiilor de carbon.</w:t>
      </w:r>
    </w:p>
    <w:p w:rsidR="00AB7E6D" w:rsidRPr="00AB7E6D" w:rsidRDefault="00AB7E6D" w:rsidP="00455518">
      <w:pPr>
        <w:pStyle w:val="ListParagraph"/>
        <w:spacing w:after="120" w:line="276" w:lineRule="auto"/>
        <w:ind w:left="1701" w:firstLine="720"/>
        <w:jc w:val="both"/>
        <w:rPr>
          <w:rFonts w:ascii="Trebuchet MS" w:eastAsia="MS Mincho" w:hAnsi="Trebuchet MS"/>
          <w:b/>
        </w:rPr>
      </w:pPr>
      <w:r w:rsidRPr="00AB7E6D">
        <w:rPr>
          <w:rFonts w:ascii="Trebuchet MS" w:eastAsia="MS Mincho" w:hAnsi="Trebuchet MS"/>
        </w:rPr>
        <w:t xml:space="preserve">Precizăm că în luna </w:t>
      </w:r>
      <w:r w:rsidRPr="00AB7E6D">
        <w:rPr>
          <w:rFonts w:ascii="Trebuchet MS" w:eastAsia="MS Mincho" w:hAnsi="Trebuchet MS"/>
          <w:b/>
        </w:rPr>
        <w:t xml:space="preserve">februarie 2014, Comisia Europeană </w:t>
      </w:r>
      <w:r w:rsidRPr="00AB7E6D">
        <w:rPr>
          <w:rFonts w:ascii="Trebuchet MS" w:eastAsia="MS Mincho" w:hAnsi="Trebuchet MS"/>
        </w:rPr>
        <w:t xml:space="preserve">a informat MMSC despre faptul că Decizia Curţii Europene de Justiţie din luna octombrie 2013 nu lasă Statelor </w:t>
      </w:r>
      <w:r w:rsidRPr="00AB7E6D">
        <w:rPr>
          <w:rFonts w:ascii="Trebuchet MS" w:eastAsia="MS Mincho" w:hAnsi="Trebuchet MS"/>
          <w:b/>
        </w:rPr>
        <w:t xml:space="preserve">Membre nici un fel de flexibilitate cu privire la exonerarea de la aplicarea penalităţii de 100 Euro în cazul în care operatorul nu restituie suficiente certificate în Registrul Unic până la data de 30 aprilie,  chiar dacă acesta dispune la acea dată de un număr suficient de certificate. </w:t>
      </w:r>
    </w:p>
    <w:p w:rsidR="00AB7E6D" w:rsidRPr="00E547C5" w:rsidRDefault="00AB7E6D" w:rsidP="00455518">
      <w:pPr>
        <w:pStyle w:val="ListParagraph"/>
        <w:spacing w:after="120" w:line="276" w:lineRule="auto"/>
        <w:ind w:left="1701" w:firstLine="720"/>
        <w:jc w:val="both"/>
        <w:rPr>
          <w:rFonts w:ascii="Trebuchet MS" w:eastAsia="MS Mincho" w:hAnsi="Trebuchet MS"/>
        </w:rPr>
      </w:pPr>
    </w:p>
    <w:p w:rsidR="00A1376F" w:rsidRPr="00E547C5" w:rsidRDefault="00AB7E6D" w:rsidP="00455518">
      <w:pPr>
        <w:spacing w:before="120" w:line="264" w:lineRule="auto"/>
        <w:rPr>
          <w:lang w:val="ro-RO"/>
        </w:rPr>
      </w:pPr>
      <w:r w:rsidRPr="00E547C5">
        <w:rPr>
          <w:lang w:val="it-IT"/>
        </w:rPr>
        <w:t>Cu deosebita considera</w:t>
      </w:r>
      <w:r w:rsidR="00E547C5" w:rsidRPr="00E547C5">
        <w:rPr>
          <w:lang w:val="ro-RO"/>
        </w:rPr>
        <w:t>ţie,</w:t>
      </w:r>
    </w:p>
    <w:p w:rsidR="00A04360" w:rsidRDefault="00A1376F" w:rsidP="00455518">
      <w:pPr>
        <w:rPr>
          <w:b/>
        </w:rPr>
      </w:pPr>
      <w:r w:rsidRPr="00E547C5">
        <w:rPr>
          <w:b/>
        </w:rPr>
        <w:t xml:space="preserve">                </w:t>
      </w:r>
    </w:p>
    <w:p w:rsidR="00E547C5" w:rsidRPr="00E547C5" w:rsidRDefault="00E547C5" w:rsidP="00455518">
      <w:pPr>
        <w:rPr>
          <w:b/>
          <w:lang w:val="ro-RO"/>
        </w:rPr>
      </w:pPr>
    </w:p>
    <w:p w:rsidR="00A1376F" w:rsidRPr="00E547C5" w:rsidRDefault="00A1376F" w:rsidP="00455518">
      <w:pPr>
        <w:rPr>
          <w:b/>
          <w:lang w:val="ro-RO"/>
        </w:rPr>
      </w:pPr>
      <w:r w:rsidRPr="00E547C5">
        <w:rPr>
          <w:b/>
          <w:lang w:val="ro-RO"/>
        </w:rPr>
        <w:t>Serviciul Relaţii cu Publicul şi Mass-Media</w:t>
      </w:r>
    </w:p>
    <w:p w:rsidR="00A1376F" w:rsidRPr="00E547C5" w:rsidRDefault="00A1376F" w:rsidP="00455518">
      <w:pPr>
        <w:rPr>
          <w:b/>
          <w:lang w:val="ro-RO"/>
        </w:rPr>
      </w:pPr>
    </w:p>
    <w:p w:rsidR="006A2A28" w:rsidRDefault="006A2A28" w:rsidP="00455518">
      <w:pPr>
        <w:rPr>
          <w:b/>
          <w:sz w:val="26"/>
          <w:szCs w:val="26"/>
          <w:lang w:val="ro-RO"/>
        </w:rPr>
      </w:pPr>
    </w:p>
    <w:p w:rsidR="006A2A28" w:rsidRDefault="006A2A28" w:rsidP="00455518">
      <w:pPr>
        <w:rPr>
          <w:b/>
          <w:sz w:val="26"/>
          <w:szCs w:val="26"/>
          <w:lang w:val="ro-RO"/>
        </w:rPr>
      </w:pPr>
    </w:p>
    <w:p w:rsidR="006A2A28" w:rsidRDefault="006A2A28" w:rsidP="00455518">
      <w:pPr>
        <w:rPr>
          <w:b/>
          <w:sz w:val="26"/>
          <w:szCs w:val="26"/>
          <w:lang w:val="ro-RO"/>
        </w:rPr>
      </w:pPr>
    </w:p>
    <w:sectPr w:rsidR="006A2A28" w:rsidSect="00100F36">
      <w:headerReference w:type="default" r:id="rId8"/>
      <w:footerReference w:type="default" r:id="rId9"/>
      <w:headerReference w:type="first" r:id="rId10"/>
      <w:footerReference w:type="first" r:id="rId11"/>
      <w:pgSz w:w="11900" w:h="16840"/>
      <w:pgMar w:top="1674" w:right="560" w:bottom="1702" w:left="567"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5F5" w:rsidRDefault="002325F5" w:rsidP="00C821C6">
      <w:pPr>
        <w:spacing w:after="0" w:line="240" w:lineRule="auto"/>
      </w:pPr>
      <w:r>
        <w:separator/>
      </w:r>
    </w:p>
  </w:endnote>
  <w:endnote w:type="continuationSeparator" w:id="0">
    <w:p w:rsidR="002325F5" w:rsidRDefault="002325F5" w:rsidP="00C8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5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E0E" w:rsidRPr="00F72B78" w:rsidRDefault="002325F5" w:rsidP="00F72B78">
    <w:pPr>
      <w:pStyle w:val="Footer"/>
      <w:spacing w:after="0" w:line="240" w:lineRule="auto"/>
      <w:ind w:left="0"/>
      <w:rPr>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FC" w:rsidRPr="00E562FC" w:rsidRDefault="00122BFC" w:rsidP="00E562FC">
    <w:pPr>
      <w:pStyle w:val="Footer"/>
      <w:spacing w:after="0"/>
      <w:rPr>
        <w:sz w:val="14"/>
        <w:szCs w:val="14"/>
      </w:rPr>
    </w:pPr>
    <w:r>
      <w:rPr>
        <w:sz w:val="14"/>
        <w:szCs w:val="14"/>
      </w:rPr>
      <w:t>Bulevardul Libert</w:t>
    </w:r>
    <w:r>
      <w:rPr>
        <w:sz w:val="14"/>
        <w:szCs w:val="14"/>
        <w:lang w:val="ro-RO"/>
      </w:rPr>
      <w:t>ăţii nr.12</w:t>
    </w:r>
    <w:r>
      <w:rPr>
        <w:sz w:val="14"/>
        <w:szCs w:val="14"/>
      </w:rPr>
      <w:t>, Sector 5, Bucureş</w:t>
    </w:r>
    <w:r w:rsidRPr="00E562FC">
      <w:rPr>
        <w:sz w:val="14"/>
        <w:szCs w:val="14"/>
      </w:rPr>
      <w:t>ti</w:t>
    </w:r>
  </w:p>
  <w:p w:rsidR="00D429E5" w:rsidRDefault="00122BFC" w:rsidP="00100F36">
    <w:pPr>
      <w:pStyle w:val="Footer"/>
      <w:spacing w:after="0"/>
      <w:rPr>
        <w:sz w:val="14"/>
        <w:szCs w:val="14"/>
      </w:rPr>
    </w:pPr>
    <w:r w:rsidRPr="00E562FC">
      <w:rPr>
        <w:sz w:val="14"/>
        <w:szCs w:val="14"/>
      </w:rPr>
      <w:t xml:space="preserve">Tel.: +4 021 </w:t>
    </w:r>
    <w:r>
      <w:rPr>
        <w:sz w:val="14"/>
        <w:szCs w:val="14"/>
      </w:rPr>
      <w:t>4089500</w:t>
    </w:r>
  </w:p>
  <w:p w:rsidR="00E562FC" w:rsidRPr="00100F36" w:rsidRDefault="00122BFC" w:rsidP="00100F36">
    <w:pPr>
      <w:pStyle w:val="Footer"/>
      <w:spacing w:after="0"/>
      <w:rPr>
        <w:b/>
        <w:sz w:val="14"/>
        <w:szCs w:val="14"/>
      </w:rPr>
    </w:pPr>
    <w:r>
      <w:rPr>
        <w:b/>
        <w:sz w:val="14"/>
        <w:szCs w:val="14"/>
      </w:rPr>
      <w:t>www.mmediu.ro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5F5" w:rsidRDefault="002325F5" w:rsidP="00C821C6">
      <w:pPr>
        <w:spacing w:after="0" w:line="240" w:lineRule="auto"/>
      </w:pPr>
      <w:r>
        <w:separator/>
      </w:r>
    </w:p>
  </w:footnote>
  <w:footnote w:type="continuationSeparator" w:id="0">
    <w:p w:rsidR="002325F5" w:rsidRDefault="002325F5" w:rsidP="00C821C6">
      <w:pPr>
        <w:spacing w:after="0" w:line="240" w:lineRule="auto"/>
      </w:pPr>
      <w:r>
        <w:continuationSeparator/>
      </w:r>
    </w:p>
  </w:footnote>
  <w:footnote w:id="1">
    <w:p w:rsidR="00AB7E6D" w:rsidRPr="006B6C42" w:rsidRDefault="00AB7E6D" w:rsidP="00AB7E6D">
      <w:pPr>
        <w:pStyle w:val="FootnoteText"/>
        <w:jc w:val="both"/>
        <w:rPr>
          <w:lang w:val="ro-RO"/>
        </w:rPr>
      </w:pPr>
      <w:r>
        <w:rPr>
          <w:rStyle w:val="FootnoteReference"/>
        </w:rPr>
        <w:footnoteRef/>
      </w:r>
      <w:r w:rsidRPr="00B66B9E">
        <w:rPr>
          <w:lang w:val="fr-FR"/>
        </w:rPr>
        <w:t xml:space="preserve"> Adresa </w:t>
      </w:r>
      <w:r>
        <w:rPr>
          <w:lang w:val="ro-RO"/>
        </w:rPr>
        <w:t xml:space="preserve">nr. 1/834/MF/28.02.2013. </w:t>
      </w:r>
    </w:p>
  </w:footnote>
  <w:footnote w:id="2">
    <w:p w:rsidR="00AB7E6D" w:rsidRPr="00536D1C" w:rsidRDefault="00AB7E6D" w:rsidP="00AB7E6D">
      <w:pPr>
        <w:pStyle w:val="FootnoteText"/>
        <w:jc w:val="both"/>
        <w:rPr>
          <w:lang w:val="ro-RO"/>
        </w:rPr>
      </w:pPr>
      <w:r>
        <w:rPr>
          <w:rStyle w:val="FootnoteReference"/>
        </w:rPr>
        <w:footnoteRef/>
      </w:r>
      <w:r w:rsidRPr="00B66B9E">
        <w:rPr>
          <w:lang w:val="ro-RO"/>
        </w:rPr>
        <w:t xml:space="preserve"> </w:t>
      </w:r>
      <w:r>
        <w:rPr>
          <w:lang w:val="ro-RO"/>
        </w:rPr>
        <w:t>Acest termen este prevăzut inclusiv de Regulamentul UE 920</w:t>
      </w:r>
      <w:r w:rsidRPr="00B66B9E">
        <w:rPr>
          <w:lang w:val="ro-RO"/>
        </w:rPr>
        <w:t xml:space="preserve"> </w:t>
      </w:r>
      <w:r w:rsidRPr="00536D1C">
        <w:rPr>
          <w:lang w:val="ro-RO"/>
        </w:rPr>
        <w:t xml:space="preserve">UE 920/2010 privind funcţionarea Registrului </w:t>
      </w:r>
      <w:r>
        <w:rPr>
          <w:lang w:val="ro-RO"/>
        </w:rPr>
        <w:t xml:space="preserve">Unic Consolidat al Uniunii Europene </w:t>
      </w:r>
      <w:r w:rsidRPr="00536D1C">
        <w:rPr>
          <w:lang w:val="ro-RO"/>
        </w:rPr>
        <w:t>sub schema EU ETS, cu modificările şi completările ulterioare.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14" w:type="dxa"/>
      <w:tblInd w:w="1701" w:type="dxa"/>
      <w:tblCellMar>
        <w:left w:w="0" w:type="dxa"/>
        <w:right w:w="0" w:type="dxa"/>
      </w:tblCellMar>
      <w:tblLook w:val="04A0" w:firstRow="1" w:lastRow="0" w:firstColumn="1" w:lastColumn="0" w:noHBand="0" w:noVBand="1"/>
    </w:tblPr>
    <w:tblGrid>
      <w:gridCol w:w="5103"/>
      <w:gridCol w:w="4111"/>
    </w:tblGrid>
    <w:tr w:rsidR="00766E0E" w:rsidTr="00C20EF1">
      <w:tc>
        <w:tcPr>
          <w:tcW w:w="5103" w:type="dxa"/>
          <w:shd w:val="clear" w:color="auto" w:fill="auto"/>
        </w:tcPr>
        <w:p w:rsidR="00766E0E" w:rsidRPr="00CD5B3B" w:rsidRDefault="002325F5" w:rsidP="00E562FC">
          <w:pPr>
            <w:pStyle w:val="MediumGrid21"/>
          </w:pPr>
        </w:p>
      </w:tc>
      <w:tc>
        <w:tcPr>
          <w:tcW w:w="4111" w:type="dxa"/>
          <w:shd w:val="clear" w:color="auto" w:fill="auto"/>
          <w:vAlign w:val="center"/>
        </w:tcPr>
        <w:p w:rsidR="00766E0E" w:rsidRDefault="002325F5" w:rsidP="00C20EF1">
          <w:pPr>
            <w:pStyle w:val="MediumGrid21"/>
            <w:jc w:val="right"/>
          </w:pPr>
        </w:p>
      </w:tc>
    </w:tr>
  </w:tbl>
  <w:p w:rsidR="00766E0E" w:rsidRPr="00CD5B3B" w:rsidRDefault="008231EB" w:rsidP="00CD5B3B">
    <w:pPr>
      <w:pStyle w:val="Header"/>
    </w:pPr>
    <w:r>
      <w:rPr>
        <w:noProof/>
        <w:lang w:val="ro-RO" w:eastAsia="ro-RO"/>
      </w:rPr>
      <w:drawing>
        <wp:inline distT="0" distB="0" distL="0" distR="0">
          <wp:extent cx="2562225" cy="371475"/>
          <wp:effectExtent l="0" t="0" r="9525" b="9525"/>
          <wp:docPr id="1" name="Picture 35" descr="logo_antet_MMSC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go_antet_MMSC_p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3714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915" w:type="dxa"/>
      <w:tblCellMar>
        <w:left w:w="0" w:type="dxa"/>
        <w:right w:w="0" w:type="dxa"/>
      </w:tblCellMar>
      <w:tblLook w:val="04A0" w:firstRow="1" w:lastRow="0" w:firstColumn="1" w:lastColumn="0" w:noHBand="0" w:noVBand="1"/>
    </w:tblPr>
    <w:tblGrid>
      <w:gridCol w:w="6804"/>
      <w:gridCol w:w="4111"/>
    </w:tblGrid>
    <w:tr w:rsidR="00E562FC" w:rsidTr="00E562FC">
      <w:tc>
        <w:tcPr>
          <w:tcW w:w="6804" w:type="dxa"/>
          <w:shd w:val="clear" w:color="auto" w:fill="auto"/>
        </w:tcPr>
        <w:p w:rsidR="00E562FC" w:rsidRPr="00CD5B3B" w:rsidRDefault="008231EB" w:rsidP="00C20EF1">
          <w:pPr>
            <w:pStyle w:val="MediumGrid21"/>
          </w:pPr>
          <w:r>
            <w:rPr>
              <w:noProof/>
              <w:lang w:val="ro-RO" w:eastAsia="ro-RO"/>
            </w:rPr>
            <w:drawing>
              <wp:inline distT="0" distB="0" distL="0" distR="0">
                <wp:extent cx="3648075" cy="904875"/>
                <wp:effectExtent l="0" t="0" r="9525" b="9525"/>
                <wp:docPr id="2" name="Picture 34" descr="logo_antet_MM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ogo_antet_MMS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48075" cy="904875"/>
                        </a:xfrm>
                        <a:prstGeom prst="rect">
                          <a:avLst/>
                        </a:prstGeom>
                        <a:noFill/>
                        <a:ln>
                          <a:noFill/>
                        </a:ln>
                      </pic:spPr>
                    </pic:pic>
                  </a:graphicData>
                </a:graphic>
              </wp:inline>
            </w:drawing>
          </w:r>
        </w:p>
      </w:tc>
      <w:tc>
        <w:tcPr>
          <w:tcW w:w="4111" w:type="dxa"/>
          <w:shd w:val="clear" w:color="auto" w:fill="auto"/>
          <w:vAlign w:val="center"/>
        </w:tcPr>
        <w:p w:rsidR="00E562FC" w:rsidRDefault="002325F5" w:rsidP="00E562FC">
          <w:pPr>
            <w:pStyle w:val="MediumGrid21"/>
            <w:jc w:val="right"/>
          </w:pPr>
        </w:p>
      </w:tc>
    </w:tr>
  </w:tbl>
  <w:p w:rsidR="00E562FC" w:rsidRDefault="002325F5" w:rsidP="00E562FC">
    <w:pPr>
      <w:pStyle w:val="Heade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614D8"/>
    <w:multiLevelType w:val="hybridMultilevel"/>
    <w:tmpl w:val="1E82B598"/>
    <w:lvl w:ilvl="0" w:tplc="04180005">
      <w:start w:val="1"/>
      <w:numFmt w:val="bullet"/>
      <w:lvlText w:val=""/>
      <w:lvlJc w:val="left"/>
      <w:pPr>
        <w:ind w:left="2160" w:hanging="360"/>
      </w:pPr>
      <w:rPr>
        <w:rFonts w:ascii="Wingdings" w:hAnsi="Wingding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16CD7D11"/>
    <w:multiLevelType w:val="hybridMultilevel"/>
    <w:tmpl w:val="7B1EC1F4"/>
    <w:lvl w:ilvl="0" w:tplc="0418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1D7739F"/>
    <w:multiLevelType w:val="hybridMultilevel"/>
    <w:tmpl w:val="089A518A"/>
    <w:lvl w:ilvl="0" w:tplc="0418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9A30066"/>
    <w:multiLevelType w:val="hybridMultilevel"/>
    <w:tmpl w:val="F870A0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5B3632"/>
    <w:multiLevelType w:val="hybridMultilevel"/>
    <w:tmpl w:val="190AF89C"/>
    <w:lvl w:ilvl="0" w:tplc="0338C7F8">
      <w:start w:val="1"/>
      <w:numFmt w:val="decimal"/>
      <w:lvlText w:val="%1."/>
      <w:lvlJc w:val="left"/>
      <w:pPr>
        <w:ind w:left="1080" w:hanging="360"/>
      </w:pPr>
      <w:rPr>
        <w:rFonts w:hint="default"/>
        <w:b/>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1026139"/>
    <w:multiLevelType w:val="hybridMultilevel"/>
    <w:tmpl w:val="1BCE04A0"/>
    <w:lvl w:ilvl="0" w:tplc="0418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EA3"/>
    <w:rsid w:val="000355D5"/>
    <w:rsid w:val="000365FA"/>
    <w:rsid w:val="000C5F31"/>
    <w:rsid w:val="0010563A"/>
    <w:rsid w:val="00122BFC"/>
    <w:rsid w:val="00186130"/>
    <w:rsid w:val="002325F5"/>
    <w:rsid w:val="00260441"/>
    <w:rsid w:val="002D517E"/>
    <w:rsid w:val="0033704D"/>
    <w:rsid w:val="00377BCE"/>
    <w:rsid w:val="00381EBC"/>
    <w:rsid w:val="00386B5A"/>
    <w:rsid w:val="003A5702"/>
    <w:rsid w:val="00455518"/>
    <w:rsid w:val="004809A1"/>
    <w:rsid w:val="005814F3"/>
    <w:rsid w:val="005832E4"/>
    <w:rsid w:val="0064173A"/>
    <w:rsid w:val="00651B7F"/>
    <w:rsid w:val="00667708"/>
    <w:rsid w:val="006A2A28"/>
    <w:rsid w:val="006A2F54"/>
    <w:rsid w:val="006D501D"/>
    <w:rsid w:val="007B004B"/>
    <w:rsid w:val="008231EB"/>
    <w:rsid w:val="00830DBF"/>
    <w:rsid w:val="0086056C"/>
    <w:rsid w:val="008631D3"/>
    <w:rsid w:val="008D6D68"/>
    <w:rsid w:val="008D701C"/>
    <w:rsid w:val="00965E48"/>
    <w:rsid w:val="009B475A"/>
    <w:rsid w:val="00A04360"/>
    <w:rsid w:val="00A1376F"/>
    <w:rsid w:val="00AB7E6D"/>
    <w:rsid w:val="00BC096F"/>
    <w:rsid w:val="00BF0201"/>
    <w:rsid w:val="00C821C6"/>
    <w:rsid w:val="00C92127"/>
    <w:rsid w:val="00CA2F0B"/>
    <w:rsid w:val="00CA73DD"/>
    <w:rsid w:val="00CD3EA3"/>
    <w:rsid w:val="00CE67F9"/>
    <w:rsid w:val="00D817EF"/>
    <w:rsid w:val="00D84F17"/>
    <w:rsid w:val="00DA0F33"/>
    <w:rsid w:val="00DF5A55"/>
    <w:rsid w:val="00E33B04"/>
    <w:rsid w:val="00E41330"/>
    <w:rsid w:val="00E42D2E"/>
    <w:rsid w:val="00E547C5"/>
    <w:rsid w:val="00E84E28"/>
    <w:rsid w:val="00F0288B"/>
    <w:rsid w:val="00F30A20"/>
    <w:rsid w:val="00F33CF1"/>
    <w:rsid w:val="00F42EA6"/>
    <w:rsid w:val="00F44126"/>
    <w:rsid w:val="00F56307"/>
    <w:rsid w:val="00F72B78"/>
    <w:rsid w:val="00F73752"/>
    <w:rsid w:val="00FB7299"/>
    <w:rsid w:val="00FC0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EA3"/>
    <w:pPr>
      <w:spacing w:after="120"/>
      <w:ind w:left="1701"/>
      <w:jc w:val="both"/>
    </w:pPr>
    <w:rPr>
      <w:rFonts w:ascii="Trebuchet MS" w:eastAsia="MS Mincho" w:hAnsi="Trebuchet M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EA3"/>
    <w:pPr>
      <w:tabs>
        <w:tab w:val="center" w:pos="4320"/>
        <w:tab w:val="right" w:pos="8640"/>
      </w:tabs>
    </w:pPr>
    <w:rPr>
      <w:rFonts w:ascii="Cambria" w:hAnsi="Cambria"/>
      <w:sz w:val="24"/>
      <w:szCs w:val="24"/>
    </w:rPr>
  </w:style>
  <w:style w:type="character" w:customStyle="1" w:styleId="HeaderChar">
    <w:name w:val="Header Char"/>
    <w:basedOn w:val="DefaultParagraphFont"/>
    <w:link w:val="Header"/>
    <w:uiPriority w:val="99"/>
    <w:rsid w:val="00CD3EA3"/>
    <w:rPr>
      <w:rFonts w:ascii="Cambria" w:eastAsia="MS Mincho" w:hAnsi="Cambria" w:cs="Times New Roman"/>
      <w:sz w:val="24"/>
      <w:szCs w:val="24"/>
    </w:rPr>
  </w:style>
  <w:style w:type="paragraph" w:styleId="Footer">
    <w:name w:val="footer"/>
    <w:basedOn w:val="Normal"/>
    <w:link w:val="FooterChar"/>
    <w:unhideWhenUsed/>
    <w:rsid w:val="00CD3EA3"/>
    <w:pPr>
      <w:tabs>
        <w:tab w:val="center" w:pos="4320"/>
        <w:tab w:val="right" w:pos="8640"/>
      </w:tabs>
    </w:pPr>
    <w:rPr>
      <w:rFonts w:ascii="Cambria" w:hAnsi="Cambria"/>
      <w:sz w:val="24"/>
      <w:szCs w:val="24"/>
    </w:rPr>
  </w:style>
  <w:style w:type="character" w:customStyle="1" w:styleId="FooterChar">
    <w:name w:val="Footer Char"/>
    <w:basedOn w:val="DefaultParagraphFont"/>
    <w:link w:val="Footer"/>
    <w:rsid w:val="00CD3EA3"/>
    <w:rPr>
      <w:rFonts w:ascii="Cambria" w:eastAsia="MS Mincho" w:hAnsi="Cambria" w:cs="Times New Roman"/>
      <w:sz w:val="24"/>
      <w:szCs w:val="24"/>
    </w:rPr>
  </w:style>
  <w:style w:type="paragraph" w:customStyle="1" w:styleId="MediumGrid21">
    <w:name w:val="Medium Grid 21"/>
    <w:uiPriority w:val="1"/>
    <w:qFormat/>
    <w:rsid w:val="00CD3EA3"/>
    <w:pPr>
      <w:spacing w:after="0" w:line="240" w:lineRule="auto"/>
    </w:pPr>
    <w:rPr>
      <w:rFonts w:ascii="Trebuchet MS" w:eastAsia="MS Mincho" w:hAnsi="Trebuchet MS" w:cs="Times New Roman"/>
      <w:sz w:val="18"/>
      <w:szCs w:val="18"/>
    </w:rPr>
  </w:style>
  <w:style w:type="character" w:styleId="Hyperlink">
    <w:name w:val="Hyperlink"/>
    <w:uiPriority w:val="99"/>
    <w:unhideWhenUsed/>
    <w:rsid w:val="00CD3EA3"/>
    <w:rPr>
      <w:color w:val="0000FF"/>
      <w:u w:val="single"/>
    </w:rPr>
  </w:style>
  <w:style w:type="paragraph" w:styleId="FootnoteText">
    <w:name w:val="footnote text"/>
    <w:basedOn w:val="Normal"/>
    <w:link w:val="FootnoteTextChar"/>
    <w:uiPriority w:val="99"/>
    <w:unhideWhenUsed/>
    <w:rsid w:val="00AB7E6D"/>
    <w:pPr>
      <w:spacing w:after="0" w:line="240" w:lineRule="auto"/>
      <w:ind w:left="0"/>
      <w:jc w:val="left"/>
    </w:pPr>
    <w:rPr>
      <w:rFonts w:ascii="Times New Roman" w:hAnsi="Times New Roman"/>
      <w:sz w:val="20"/>
      <w:szCs w:val="20"/>
    </w:rPr>
  </w:style>
  <w:style w:type="character" w:customStyle="1" w:styleId="FootnoteTextChar">
    <w:name w:val="Footnote Text Char"/>
    <w:basedOn w:val="DefaultParagraphFont"/>
    <w:link w:val="FootnoteText"/>
    <w:uiPriority w:val="99"/>
    <w:rsid w:val="00AB7E6D"/>
    <w:rPr>
      <w:rFonts w:ascii="Times New Roman" w:eastAsia="MS Mincho" w:hAnsi="Times New Roman" w:cs="Times New Roman"/>
      <w:sz w:val="20"/>
      <w:szCs w:val="20"/>
    </w:rPr>
  </w:style>
  <w:style w:type="character" w:styleId="FootnoteReference">
    <w:name w:val="footnote reference"/>
    <w:uiPriority w:val="99"/>
    <w:unhideWhenUsed/>
    <w:rsid w:val="00AB7E6D"/>
    <w:rPr>
      <w:vertAlign w:val="superscript"/>
    </w:rPr>
  </w:style>
  <w:style w:type="paragraph" w:styleId="ListParagraph">
    <w:name w:val="List Paragraph"/>
    <w:basedOn w:val="Normal"/>
    <w:uiPriority w:val="34"/>
    <w:qFormat/>
    <w:rsid w:val="00AB7E6D"/>
    <w:pPr>
      <w:spacing w:after="0" w:line="240" w:lineRule="auto"/>
      <w:ind w:left="720"/>
      <w:contextualSpacing/>
      <w:jc w:val="center"/>
    </w:pPr>
    <w:rPr>
      <w:rFonts w:ascii="Calibri" w:eastAsia="Calibri" w:hAnsi="Calibri"/>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EA3"/>
    <w:pPr>
      <w:spacing w:after="120"/>
      <w:ind w:left="1701"/>
      <w:jc w:val="both"/>
    </w:pPr>
    <w:rPr>
      <w:rFonts w:ascii="Trebuchet MS" w:eastAsia="MS Mincho" w:hAnsi="Trebuchet M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EA3"/>
    <w:pPr>
      <w:tabs>
        <w:tab w:val="center" w:pos="4320"/>
        <w:tab w:val="right" w:pos="8640"/>
      </w:tabs>
    </w:pPr>
    <w:rPr>
      <w:rFonts w:ascii="Cambria" w:hAnsi="Cambria"/>
      <w:sz w:val="24"/>
      <w:szCs w:val="24"/>
    </w:rPr>
  </w:style>
  <w:style w:type="character" w:customStyle="1" w:styleId="HeaderChar">
    <w:name w:val="Header Char"/>
    <w:basedOn w:val="DefaultParagraphFont"/>
    <w:link w:val="Header"/>
    <w:uiPriority w:val="99"/>
    <w:rsid w:val="00CD3EA3"/>
    <w:rPr>
      <w:rFonts w:ascii="Cambria" w:eastAsia="MS Mincho" w:hAnsi="Cambria" w:cs="Times New Roman"/>
      <w:sz w:val="24"/>
      <w:szCs w:val="24"/>
    </w:rPr>
  </w:style>
  <w:style w:type="paragraph" w:styleId="Footer">
    <w:name w:val="footer"/>
    <w:basedOn w:val="Normal"/>
    <w:link w:val="FooterChar"/>
    <w:unhideWhenUsed/>
    <w:rsid w:val="00CD3EA3"/>
    <w:pPr>
      <w:tabs>
        <w:tab w:val="center" w:pos="4320"/>
        <w:tab w:val="right" w:pos="8640"/>
      </w:tabs>
    </w:pPr>
    <w:rPr>
      <w:rFonts w:ascii="Cambria" w:hAnsi="Cambria"/>
      <w:sz w:val="24"/>
      <w:szCs w:val="24"/>
    </w:rPr>
  </w:style>
  <w:style w:type="character" w:customStyle="1" w:styleId="FooterChar">
    <w:name w:val="Footer Char"/>
    <w:basedOn w:val="DefaultParagraphFont"/>
    <w:link w:val="Footer"/>
    <w:rsid w:val="00CD3EA3"/>
    <w:rPr>
      <w:rFonts w:ascii="Cambria" w:eastAsia="MS Mincho" w:hAnsi="Cambria" w:cs="Times New Roman"/>
      <w:sz w:val="24"/>
      <w:szCs w:val="24"/>
    </w:rPr>
  </w:style>
  <w:style w:type="paragraph" w:customStyle="1" w:styleId="MediumGrid21">
    <w:name w:val="Medium Grid 21"/>
    <w:uiPriority w:val="1"/>
    <w:qFormat/>
    <w:rsid w:val="00CD3EA3"/>
    <w:pPr>
      <w:spacing w:after="0" w:line="240" w:lineRule="auto"/>
    </w:pPr>
    <w:rPr>
      <w:rFonts w:ascii="Trebuchet MS" w:eastAsia="MS Mincho" w:hAnsi="Trebuchet MS" w:cs="Times New Roman"/>
      <w:sz w:val="18"/>
      <w:szCs w:val="18"/>
    </w:rPr>
  </w:style>
  <w:style w:type="character" w:styleId="Hyperlink">
    <w:name w:val="Hyperlink"/>
    <w:uiPriority w:val="99"/>
    <w:unhideWhenUsed/>
    <w:rsid w:val="00CD3EA3"/>
    <w:rPr>
      <w:color w:val="0000FF"/>
      <w:u w:val="single"/>
    </w:rPr>
  </w:style>
  <w:style w:type="paragraph" w:styleId="FootnoteText">
    <w:name w:val="footnote text"/>
    <w:basedOn w:val="Normal"/>
    <w:link w:val="FootnoteTextChar"/>
    <w:uiPriority w:val="99"/>
    <w:unhideWhenUsed/>
    <w:rsid w:val="00AB7E6D"/>
    <w:pPr>
      <w:spacing w:after="0" w:line="240" w:lineRule="auto"/>
      <w:ind w:left="0"/>
      <w:jc w:val="left"/>
    </w:pPr>
    <w:rPr>
      <w:rFonts w:ascii="Times New Roman" w:hAnsi="Times New Roman"/>
      <w:sz w:val="20"/>
      <w:szCs w:val="20"/>
    </w:rPr>
  </w:style>
  <w:style w:type="character" w:customStyle="1" w:styleId="FootnoteTextChar">
    <w:name w:val="Footnote Text Char"/>
    <w:basedOn w:val="DefaultParagraphFont"/>
    <w:link w:val="FootnoteText"/>
    <w:uiPriority w:val="99"/>
    <w:rsid w:val="00AB7E6D"/>
    <w:rPr>
      <w:rFonts w:ascii="Times New Roman" w:eastAsia="MS Mincho" w:hAnsi="Times New Roman" w:cs="Times New Roman"/>
      <w:sz w:val="20"/>
      <w:szCs w:val="20"/>
    </w:rPr>
  </w:style>
  <w:style w:type="character" w:styleId="FootnoteReference">
    <w:name w:val="footnote reference"/>
    <w:uiPriority w:val="99"/>
    <w:unhideWhenUsed/>
    <w:rsid w:val="00AB7E6D"/>
    <w:rPr>
      <w:vertAlign w:val="superscript"/>
    </w:rPr>
  </w:style>
  <w:style w:type="paragraph" w:styleId="ListParagraph">
    <w:name w:val="List Paragraph"/>
    <w:basedOn w:val="Normal"/>
    <w:uiPriority w:val="34"/>
    <w:qFormat/>
    <w:rsid w:val="00AB7E6D"/>
    <w:pPr>
      <w:spacing w:after="0" w:line="240" w:lineRule="auto"/>
      <w:ind w:left="720"/>
      <w:contextualSpacing/>
      <w:jc w:val="center"/>
    </w:pPr>
    <w:rPr>
      <w:rFonts w:ascii="Calibri" w:eastAsia="Calibri" w:hAnsi="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2116</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MinMediu</Company>
  <LinksUpToDate>false</LinksUpToDate>
  <CharactersWithSpaces>14361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SRP</dc:creator>
  <cp:lastModifiedBy>Mimi</cp:lastModifiedBy>
  <cp:revision>2</cp:revision>
  <cp:lastPrinted>2014-04-15T14:49:00Z</cp:lastPrinted>
  <dcterms:created xsi:type="dcterms:W3CDTF">2014-04-16T12:34:00Z</dcterms:created>
  <dcterms:modified xsi:type="dcterms:W3CDTF">2014-04-16T12:34:00Z</dcterms:modified>
</cp:coreProperties>
</file>